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1"/>
        </w:numPr>
        <w:bidi w:val="0"/>
        <w:rPr>
          <w:rFonts w:hint="eastAsia"/>
          <w:lang w:val="en-US" w:eastAsia="zh-CN"/>
        </w:rPr>
      </w:pPr>
      <w:r>
        <w:rPr>
          <w:rFonts w:hint="eastAsia"/>
          <w:lang w:val="en-US" w:eastAsia="zh-CN"/>
        </w:rPr>
        <w:t>系统简介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lang w:val="en-US" w:eastAsia="zh-CN"/>
        </w:rPr>
        <w:t>瑞信水电统一收费监管平台系统主要有智能</w:t>
      </w:r>
      <w:r>
        <w:t>电表</w:t>
      </w:r>
      <w:r>
        <w:rPr>
          <w:rFonts w:hint="eastAsia"/>
          <w:lang w:eastAsia="zh-CN"/>
        </w:rPr>
        <w:t>、</w:t>
      </w:r>
      <w:r>
        <w:t>数据网关、通讯网络、系统软件及</w:t>
      </w:r>
      <w:r>
        <w:rPr>
          <w:rFonts w:hint="eastAsia"/>
          <w:lang w:val="en-US" w:eastAsia="zh-CN"/>
        </w:rPr>
        <w:t>电脑服务器组成</w:t>
      </w:r>
      <w:r>
        <w:t>。</w:t>
      </w:r>
      <w:r>
        <w:rPr>
          <w:rFonts w:hint="eastAsia"/>
          <w:lang w:val="en-US" w:eastAsia="zh-CN"/>
        </w:rPr>
        <w:t>通过应用最新的现场数据采集、物联网通讯传输、</w:t>
      </w:r>
      <w:r>
        <w:t>自动化</w:t>
      </w:r>
      <w:r>
        <w:rPr>
          <w:rFonts w:hint="eastAsia"/>
          <w:lang w:val="en-US" w:eastAsia="zh-CN"/>
        </w:rPr>
        <w:t>节能控制</w:t>
      </w:r>
      <w:r>
        <w:t>、</w:t>
      </w:r>
      <w:r>
        <w:rPr>
          <w:rFonts w:hint="eastAsia"/>
          <w:lang w:val="en-US" w:eastAsia="zh-CN"/>
        </w:rPr>
        <w:t>云平台大数据分析等技术，</w:t>
      </w:r>
      <w:r>
        <w:t>实现</w:t>
      </w:r>
      <w:r>
        <w:rPr>
          <w:rFonts w:hint="eastAsia"/>
          <w:lang w:val="en-US" w:eastAsia="zh-CN"/>
        </w:rPr>
        <w:t>设备运行监测、电能采集计费、功能策略控制、数据汇总统计、手机缴费支付管理等，大大提高管理效率，节约管理成本，提升科学管理水平。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lang w:val="en-US" w:eastAsia="zh-CN"/>
        </w:rPr>
        <w:t>水电联合管理系统就是把智能水表和智能电表统一到一个平台，统一管控，统一账户，统一收费，实现联合管理，有效降低设备成本和运维成本，实现科技管控和降本增效目标。</w:t>
      </w:r>
    </w:p>
    <w:p>
      <w:pPr>
        <w:pStyle w:val="2"/>
        <w:numPr>
          <w:ilvl w:val="0"/>
          <w:numId w:val="1"/>
        </w:numPr>
        <w:bidi w:val="0"/>
        <w:rPr>
          <w:rFonts w:hint="eastAsia"/>
          <w:lang w:val="en-US" w:eastAsia="zh-CN"/>
        </w:rPr>
      </w:pPr>
      <w:r>
        <w:rPr>
          <w:rFonts w:hint="eastAsia"/>
          <w:lang w:val="en-US" w:eastAsia="zh-CN"/>
        </w:rPr>
        <w:t>现状及问题</w:t>
      </w:r>
      <w:bookmarkStart w:id="0" w:name="_GoBack"/>
      <w:bookmarkEnd w:id="0"/>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b/>
          <w:bCs/>
          <w:lang w:val="en-US" w:eastAsia="zh-CN"/>
        </w:rPr>
        <w:t>商户较多</w:t>
      </w:r>
      <w:r>
        <w:rPr>
          <w:rFonts w:hint="eastAsia"/>
          <w:lang w:val="en-US" w:eastAsia="zh-CN"/>
        </w:rPr>
        <w:t>：业务集团对外租赁用户较多，管理商户640多户，水电收费为日常管理的重要工作，其中涉及电表641只，水表642只。</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Chars="0"/>
        <w:textAlignment w:val="auto"/>
        <w:rPr>
          <w:rFonts w:hint="default"/>
          <w:lang w:val="en-US" w:eastAsia="zh-CN"/>
        </w:rPr>
      </w:pPr>
      <w:r>
        <w:rPr>
          <w:rFonts w:hint="eastAsia"/>
          <w:b/>
          <w:bCs/>
          <w:lang w:val="en-US" w:eastAsia="zh-CN"/>
        </w:rPr>
        <w:t>核算滞后：</w:t>
      </w:r>
      <w:r>
        <w:rPr>
          <w:rFonts w:hint="eastAsia"/>
          <w:lang w:val="en-US" w:eastAsia="zh-CN"/>
        </w:rPr>
        <w:t>目前均采用人工抄表，汇总统计，核算费用，上门收取费用的水电管理模式，占用较大的人力成本，以上每个环节均存在滞后性，无法及时准确抄表统计，核算费用，上门收取。</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Chars="0"/>
        <w:textAlignment w:val="auto"/>
        <w:rPr>
          <w:rFonts w:hint="default"/>
          <w:b/>
          <w:bCs/>
          <w:lang w:val="en-US" w:eastAsia="zh-CN"/>
        </w:rPr>
      </w:pPr>
      <w:r>
        <w:rPr>
          <w:rFonts w:hint="eastAsia"/>
          <w:b/>
          <w:bCs/>
          <w:lang w:val="en-US" w:eastAsia="zh-CN"/>
        </w:rPr>
        <w:t>费用难收：</w:t>
      </w:r>
      <w:r>
        <w:rPr>
          <w:rFonts w:hint="eastAsia"/>
          <w:b w:val="0"/>
          <w:bCs w:val="0"/>
          <w:lang w:val="en-US" w:eastAsia="zh-CN"/>
        </w:rPr>
        <w:t>缴费单据即使送到店面，业经常不能及时到达商户老板手上，到来老板手上业会由于业务或其他事由不能及时到管理处缴费；还有经营状况不同、人员素养不同很难做到及时缴费，拖欠费用屡见不鲜，甚至有反复催缴也不来缴费的情况，人为断电又会造成经营矛盾。</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Chars="0"/>
        <w:textAlignment w:val="auto"/>
        <w:rPr>
          <w:rFonts w:hint="default"/>
          <w:b w:val="0"/>
          <w:bCs w:val="0"/>
          <w:lang w:val="en-US" w:eastAsia="zh-CN"/>
        </w:rPr>
      </w:pPr>
      <w:r>
        <w:rPr>
          <w:rFonts w:hint="eastAsia"/>
          <w:b/>
          <w:bCs/>
          <w:lang w:val="en-US" w:eastAsia="zh-CN"/>
        </w:rPr>
        <w:t>管理漏洞：</w:t>
      </w:r>
      <w:r>
        <w:rPr>
          <w:rFonts w:hint="eastAsia"/>
          <w:b w:val="0"/>
          <w:bCs w:val="0"/>
          <w:lang w:val="en-US" w:eastAsia="zh-CN"/>
        </w:rPr>
        <w:t>由于人工抄表，无法保证所有抄表数据的真实准确，漏抄少抄、表具计量不准、故障停止计量等无法及时发现造成收费漏洞。</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Chars="0"/>
        <w:textAlignment w:val="auto"/>
        <w:rPr>
          <w:rFonts w:hint="default"/>
          <w:b w:val="0"/>
          <w:bCs w:val="0"/>
          <w:lang w:val="en-US" w:eastAsia="zh-CN"/>
        </w:rPr>
      </w:pPr>
      <w:r>
        <w:rPr>
          <w:rFonts w:hint="eastAsia"/>
          <w:b/>
          <w:bCs/>
          <w:lang w:val="en-US" w:eastAsia="zh-CN"/>
        </w:rPr>
        <w:t>资金占用</w:t>
      </w:r>
      <w:r>
        <w:rPr>
          <w:rFonts w:hint="eastAsia"/>
          <w:b w:val="0"/>
          <w:bCs w:val="0"/>
          <w:lang w:val="en-US" w:eastAsia="zh-CN"/>
        </w:rPr>
        <w:t>：由于供电公司均是当月扣缴电费，由于商户电费抄收滞后，造成事实上的垫资缴费，占用来较多资金，不利于提升管理效益。</w:t>
      </w:r>
    </w:p>
    <w:p>
      <w:pPr>
        <w:pStyle w:val="2"/>
        <w:numPr>
          <w:ilvl w:val="0"/>
          <w:numId w:val="1"/>
        </w:numPr>
        <w:bidi w:val="0"/>
        <w:rPr>
          <w:rFonts w:hint="eastAsia"/>
          <w:b/>
          <w:lang w:val="en-US" w:eastAsia="zh-CN"/>
        </w:rPr>
      </w:pPr>
      <w:r>
        <w:rPr>
          <w:rFonts w:hint="eastAsia"/>
          <w:b/>
          <w:lang w:val="en-US" w:eastAsia="zh-CN"/>
        </w:rPr>
        <w:t>建议方案</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Chars="0"/>
        <w:textAlignment w:val="auto"/>
        <w:rPr>
          <w:rFonts w:hint="eastAsia"/>
          <w:b w:val="0"/>
          <w:bCs w:val="0"/>
          <w:lang w:val="en-US" w:eastAsia="zh-CN"/>
        </w:rPr>
      </w:pPr>
      <w:r>
        <w:rPr>
          <w:rFonts w:hint="eastAsia"/>
          <w:b w:val="0"/>
          <w:bCs w:val="0"/>
          <w:lang w:val="en-US" w:eastAsia="zh-CN"/>
        </w:rPr>
        <w:t>解决目前上述管理问题，可通过智能化改造和宣传，彻底改变水电收费管理模式，采用付费管理系统进行有效解决。就是通过管理手段的提升，使商户自动主动缴费，大大减低管理人力和工资成本。</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Chars="0"/>
        <w:textAlignment w:val="auto"/>
        <w:rPr>
          <w:rFonts w:hint="default"/>
          <w:b w:val="0"/>
          <w:bCs w:val="0"/>
          <w:lang w:val="en-US" w:eastAsia="zh-CN"/>
        </w:rPr>
      </w:pPr>
      <w:r>
        <w:rPr>
          <w:rFonts w:hint="eastAsia"/>
          <w:b w:val="0"/>
          <w:bCs w:val="0"/>
          <w:lang w:val="en-US" w:eastAsia="zh-CN"/>
        </w:rPr>
        <w:t>预付费管理系统有二种解决方案：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val="0"/>
          <w:bCs w:val="0"/>
          <w:lang w:val="en-US" w:eastAsia="zh-CN"/>
        </w:rPr>
      </w:pPr>
      <w:r>
        <w:rPr>
          <w:rFonts w:hint="eastAsia"/>
          <w:b w:val="0"/>
          <w:bCs w:val="0"/>
          <w:lang w:val="en-US" w:eastAsia="zh-CN"/>
        </w:rPr>
        <w:t>2.1 一个是采用传统的充值卡缴费购电（水），用完自动停水停电，商户持卡到管理处缴费后，再到所用水、电表上刷卡开通水电使用。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b w:val="0"/>
          <w:bCs w:val="0"/>
          <w:lang w:val="en-US" w:eastAsia="zh-CN"/>
        </w:rPr>
      </w:pPr>
      <w:r>
        <w:rPr>
          <w:rFonts w:hint="eastAsia"/>
          <w:b w:val="0"/>
          <w:bCs w:val="0"/>
          <w:lang w:val="en-US" w:eastAsia="zh-CN"/>
        </w:rPr>
        <w:t>2.2 一个是联网型预付费管理系统，通过改造安装智能水表、电表并进行组网通讯，通过后台软件实时监控，商户可通过手机微信、支付宝进行缴费充值。</w:t>
      </w:r>
    </w:p>
    <w:p>
      <w:pPr>
        <w:pStyle w:val="2"/>
        <w:numPr>
          <w:ilvl w:val="0"/>
          <w:numId w:val="0"/>
        </w:numPr>
        <w:bidi w:val="0"/>
        <w:rPr>
          <w:rFonts w:hint="eastAsia"/>
          <w:b/>
          <w:lang w:val="en-US" w:eastAsia="zh-CN"/>
        </w:rPr>
      </w:pPr>
      <w:r>
        <w:rPr>
          <w:rFonts w:hint="eastAsia"/>
          <w:b/>
          <w:lang w:val="en-US" w:eastAsia="zh-CN"/>
        </w:rPr>
        <w:t>四、方案对比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val="0"/>
          <w:bCs w:val="0"/>
          <w:lang w:val="en-US" w:eastAsia="zh-CN"/>
        </w:rPr>
      </w:pPr>
      <w:r>
        <w:rPr>
          <w:rFonts w:hint="eastAsia"/>
          <w:b/>
          <w:bCs/>
          <w:lang w:val="en-US" w:eastAsia="zh-CN"/>
        </w:rPr>
        <w:t>1、IC卡充值预付费管理系统可以有效解决先充值购水电再使用，欠费关停的管理要求，但同时存在以下缺陷</w:t>
      </w:r>
      <w:r>
        <w:rPr>
          <w:rFonts w:hint="eastAsia"/>
          <w:b w:val="0"/>
          <w:bCs w:val="0"/>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val="0"/>
          <w:bCs w:val="0"/>
          <w:lang w:val="en-US" w:eastAsia="zh-CN"/>
        </w:rPr>
      </w:pPr>
      <w:r>
        <w:rPr>
          <w:rFonts w:hint="eastAsia"/>
          <w:b w:val="0"/>
          <w:bCs w:val="0"/>
          <w:lang w:val="en-US" w:eastAsia="zh-CN"/>
        </w:rPr>
        <w:t xml:space="preserve">1.1 </w:t>
      </w:r>
      <w:r>
        <w:rPr>
          <w:rFonts w:hint="eastAsia"/>
          <w:b/>
          <w:bCs/>
          <w:lang w:val="en-US" w:eastAsia="zh-CN"/>
        </w:rPr>
        <w:t>早期产品：</w:t>
      </w:r>
      <w:r>
        <w:rPr>
          <w:rFonts w:hint="eastAsia"/>
          <w:b w:val="0"/>
          <w:bCs w:val="0"/>
          <w:lang w:val="en-US" w:eastAsia="zh-CN"/>
        </w:rPr>
        <w:t>充值卡预付费管理系统是较早出现的为来解决水电收费难题而产生的一套产品，是早期条件下的产物。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val="0"/>
          <w:bCs w:val="0"/>
          <w:lang w:val="en-US" w:eastAsia="zh-CN"/>
        </w:rPr>
      </w:pPr>
      <w:r>
        <w:rPr>
          <w:rFonts w:hint="eastAsia"/>
          <w:b w:val="0"/>
          <w:bCs w:val="0"/>
          <w:lang w:val="en-US" w:eastAsia="zh-CN"/>
        </w:rPr>
        <w:t xml:space="preserve">1.2 </w:t>
      </w:r>
      <w:r>
        <w:rPr>
          <w:rFonts w:hint="eastAsia"/>
          <w:b/>
          <w:bCs/>
          <w:lang w:val="en-US" w:eastAsia="zh-CN"/>
        </w:rPr>
        <w:t>缴费繁锁：</w:t>
      </w:r>
      <w:r>
        <w:rPr>
          <w:rFonts w:hint="eastAsia"/>
          <w:b w:val="0"/>
          <w:bCs w:val="0"/>
          <w:lang w:val="en-US" w:eastAsia="zh-CN"/>
        </w:rPr>
        <w:t>商户要细心保管充值卡的同时，要持卡在上班时间至管理处缴费，缴费充值后还需要再到水表、电表上分别刷卡开通。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b w:val="0"/>
          <w:bCs w:val="0"/>
          <w:lang w:val="en-US" w:eastAsia="zh-CN"/>
        </w:rPr>
      </w:pPr>
      <w:r>
        <w:rPr>
          <w:rFonts w:hint="eastAsia"/>
          <w:b w:val="0"/>
          <w:bCs w:val="0"/>
          <w:lang w:val="en-US" w:eastAsia="zh-CN"/>
        </w:rPr>
        <w:t xml:space="preserve">1.3 </w:t>
      </w:r>
      <w:r>
        <w:rPr>
          <w:rFonts w:hint="eastAsia"/>
          <w:b/>
          <w:bCs/>
          <w:lang w:val="en-US" w:eastAsia="zh-CN"/>
        </w:rPr>
        <w:t>无法提醒：</w:t>
      </w:r>
      <w:r>
        <w:rPr>
          <w:rFonts w:hint="eastAsia"/>
          <w:b w:val="0"/>
          <w:bCs w:val="0"/>
          <w:lang w:val="en-US" w:eastAsia="zh-CN"/>
        </w:rPr>
        <w:t>由于数据不能实时更新到后台，无法在商户账户余额不足时进行服务性人性化化告警提醒，会导致部分商户不能及时缴费而在经营时间内断电，影响商户经营造成管理矛盾。设备损坏无法报警处理。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val="0"/>
          <w:bCs w:val="0"/>
          <w:lang w:val="en-US" w:eastAsia="zh-CN"/>
        </w:rPr>
      </w:pPr>
      <w:r>
        <w:rPr>
          <w:rFonts w:hint="eastAsia"/>
          <w:b w:val="0"/>
          <w:bCs w:val="0"/>
          <w:lang w:val="en-US" w:eastAsia="zh-CN"/>
        </w:rPr>
        <w:t>1</w:t>
      </w:r>
      <w:r>
        <w:rPr>
          <w:rFonts w:hint="eastAsia"/>
          <w:b/>
          <w:bCs/>
          <w:lang w:val="en-US" w:eastAsia="zh-CN"/>
        </w:rPr>
        <w:t>.4 计费漏洞：</w:t>
      </w:r>
      <w:r>
        <w:rPr>
          <w:rFonts w:hint="eastAsia"/>
          <w:b w:val="0"/>
          <w:bCs w:val="0"/>
          <w:lang w:val="en-US" w:eastAsia="zh-CN"/>
        </w:rPr>
        <w:t>由于充值卡系统的水电表均是独立运行计量计量，后台管理系统无法及时监控水电表实时运行情况，表具故障不计量、计量不扣费等问题无法及时发现，由于无需人工抄表来，此情况可能比原始表具问题更严重。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val="0"/>
          <w:bCs w:val="0"/>
          <w:lang w:val="en-US" w:eastAsia="zh-CN"/>
        </w:rPr>
      </w:pPr>
      <w:r>
        <w:rPr>
          <w:rFonts w:hint="eastAsia"/>
          <w:b/>
          <w:bCs/>
          <w:lang w:val="en-US" w:eastAsia="zh-CN"/>
        </w:rPr>
        <w:t>1.5 管理成本</w:t>
      </w:r>
      <w:r>
        <w:rPr>
          <w:rFonts w:hint="eastAsia"/>
          <w:b w:val="0"/>
          <w:bCs w:val="0"/>
          <w:lang w:val="en-US" w:eastAsia="zh-CN"/>
        </w:rPr>
        <w:t>：由于实行来欠费即停水停电管理，商户对管理处服务的要求也相应提高，相应的收费财务人员必须随时准备等待商户上门充值，休息日也如此。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bCs/>
          <w:lang w:val="en-US" w:eastAsia="zh-CN"/>
        </w:rPr>
      </w:pPr>
      <w:r>
        <w:rPr>
          <w:rFonts w:hint="eastAsia"/>
          <w:b/>
          <w:bCs/>
          <w:lang w:val="en-US" w:eastAsia="zh-CN"/>
        </w:rPr>
        <w:t>2、联网型预付费管理系统是随着物联网的普及和技术成熟而发展起来的物业水电收费管理系统，具有以下优势。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val="0"/>
          <w:bCs w:val="0"/>
          <w:lang w:val="en-US" w:eastAsia="zh-CN"/>
        </w:rPr>
      </w:pPr>
      <w:r>
        <w:rPr>
          <w:rFonts w:hint="eastAsia"/>
          <w:b/>
          <w:bCs/>
          <w:lang w:val="en-US" w:eastAsia="zh-CN"/>
        </w:rPr>
        <w:t>2.1 成熟稳定：</w:t>
      </w:r>
      <w:r>
        <w:rPr>
          <w:rFonts w:hint="eastAsia"/>
          <w:b w:val="0"/>
          <w:bCs w:val="0"/>
          <w:lang w:val="en-US" w:eastAsia="zh-CN"/>
        </w:rPr>
        <w:t>解决了传统人工抄表收费难题，实现先购水电再使用的管理方式，而且已经广泛在高校公寓、商业综合体、综合批发市场长期使用，系统成熟产品稳定。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val="0"/>
          <w:bCs w:val="0"/>
          <w:lang w:val="en-US" w:eastAsia="zh-CN"/>
        </w:rPr>
      </w:pPr>
      <w:r>
        <w:rPr>
          <w:rFonts w:hint="eastAsia"/>
          <w:b/>
          <w:bCs/>
          <w:lang w:val="en-US" w:eastAsia="zh-CN"/>
        </w:rPr>
        <w:t>2.2 缴费方便：</w:t>
      </w:r>
      <w:r>
        <w:rPr>
          <w:rFonts w:hint="eastAsia"/>
          <w:b w:val="0"/>
          <w:bCs w:val="0"/>
          <w:lang w:val="en-US" w:eastAsia="zh-CN"/>
        </w:rPr>
        <w:t>系统可实行商户手机支付缴费，实时到帐，自动开阀、送电的自动化管理运行模式。费用实时到达物业单位的对公账户，安全快捷。手机支付缴费、消费的方便快捷已经被社会大众接受并成为习以为常的生活方式，再进行现金充值方式已经不合时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b w:val="0"/>
          <w:bCs w:val="0"/>
          <w:lang w:val="en-US" w:eastAsia="zh-CN"/>
        </w:rPr>
      </w:pPr>
      <w:r>
        <w:rPr>
          <w:rFonts w:hint="eastAsia"/>
          <w:b/>
          <w:bCs/>
          <w:lang w:val="en-US" w:eastAsia="zh-CN"/>
        </w:rPr>
        <w:t>2.3 告警提醒：</w:t>
      </w:r>
      <w:r>
        <w:rPr>
          <w:rFonts w:hint="eastAsia"/>
          <w:b w:val="0"/>
          <w:bCs w:val="0"/>
          <w:lang w:val="en-US" w:eastAsia="zh-CN"/>
        </w:rPr>
        <w:t>由于为联网运行模式，水电数据、消费信息、账户余额均实时上传后台管理电脑，可根据商户用电量，设置低限余额提醒，当账户余额不足时系统自动微信通知商户及时缴费，避免无预警断电断水影响商户正常经营。设备损坏立即报警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val="0"/>
          <w:bCs w:val="0"/>
          <w:lang w:val="en-US" w:eastAsia="zh-CN"/>
        </w:rPr>
      </w:pPr>
      <w:r>
        <w:rPr>
          <w:rFonts w:hint="eastAsia"/>
          <w:b/>
          <w:bCs/>
          <w:lang w:val="en-US" w:eastAsia="zh-CN"/>
        </w:rPr>
        <w:t>2.4 数据查询：</w:t>
      </w:r>
      <w:r>
        <w:rPr>
          <w:rFonts w:hint="eastAsia"/>
          <w:b w:val="0"/>
          <w:bCs w:val="0"/>
          <w:lang w:val="en-US" w:eastAsia="zh-CN"/>
        </w:rPr>
        <w:t>商户可通过手机APP随时查询自己水电消费数据，账户余额信息等，做到公开透明消费，及时开心缴费，良性互动，提升管理水平。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b w:val="0"/>
          <w:bCs w:val="0"/>
          <w:lang w:val="en-US" w:eastAsia="zh-CN"/>
        </w:rPr>
      </w:pPr>
      <w:r>
        <w:rPr>
          <w:rFonts w:hint="eastAsia"/>
          <w:b/>
          <w:bCs/>
          <w:lang w:val="en-US" w:eastAsia="zh-CN"/>
        </w:rPr>
        <w:t>2.5 物业联动：</w:t>
      </w:r>
      <w:r>
        <w:rPr>
          <w:rFonts w:hint="eastAsia"/>
          <w:b w:val="0"/>
          <w:bCs w:val="0"/>
          <w:lang w:val="en-US" w:eastAsia="zh-CN"/>
        </w:rPr>
        <w:t>系统支持物业费关联管理，可启用账户代扣物业费用，也可在物业费拒缴情况下自动停电管控。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b w:val="0"/>
          <w:bCs w:val="0"/>
          <w:lang w:val="en-US" w:eastAsia="zh-CN"/>
        </w:rPr>
      </w:pPr>
      <w:r>
        <w:rPr>
          <w:rFonts w:hint="eastAsia"/>
          <w:b/>
          <w:bCs/>
          <w:lang w:val="en-US" w:eastAsia="zh-CN"/>
        </w:rPr>
        <w:t>2.5 汇总决策：</w:t>
      </w:r>
      <w:r>
        <w:rPr>
          <w:rFonts w:hint="eastAsia"/>
          <w:b w:val="0"/>
          <w:bCs w:val="0"/>
          <w:lang w:val="en-US" w:eastAsia="zh-CN"/>
        </w:rPr>
        <w:t>由于系统实时采集数据，系统数据真实精准，便于汇人整个集团能源管理数据，为管理决策提供数据支撑。</w:t>
      </w:r>
    </w:p>
    <w:p>
      <w:pPr>
        <w:pStyle w:val="2"/>
        <w:numPr>
          <w:ilvl w:val="0"/>
          <w:numId w:val="0"/>
        </w:numPr>
        <w:bidi w:val="0"/>
        <w:rPr>
          <w:rFonts w:hint="eastAsia"/>
          <w:b/>
          <w:lang w:val="en-US" w:eastAsia="zh-CN"/>
        </w:rPr>
      </w:pPr>
      <w:r>
        <w:rPr>
          <w:rFonts w:hint="eastAsia"/>
          <w:b/>
          <w:lang w:val="en-US" w:eastAsia="zh-CN"/>
        </w:rPr>
        <w:t>五、系统架构</w:t>
      </w:r>
    </w:p>
    <w:p>
      <w:pPr>
        <w:pStyle w:val="3"/>
        <w:bidi w:val="0"/>
        <w:rPr>
          <w:rFonts w:hint="default"/>
          <w:lang w:val="en-US" w:eastAsia="zh-CN"/>
        </w:rPr>
      </w:pPr>
      <w:r>
        <w:rPr>
          <w:rFonts w:hint="eastAsia"/>
          <w:lang w:val="en-US" w:eastAsia="zh-CN"/>
        </w:rPr>
        <w:t>1、系统架构图</w:t>
      </w:r>
    </w:p>
    <w:p>
      <w:pPr>
        <w:jc w:val="center"/>
        <w:rPr>
          <w:rFonts w:hint="eastAsia"/>
          <w:lang w:val="en-US" w:eastAsia="zh-CN"/>
        </w:rPr>
      </w:pPr>
      <w:r>
        <w:rPr>
          <w:rFonts w:ascii="宋体" w:hAnsi="宋体" w:eastAsia="宋体" w:cs="宋体"/>
          <w:sz w:val="24"/>
          <w:szCs w:val="24"/>
        </w:rPr>
        <w:drawing>
          <wp:inline distT="0" distB="0" distL="114300" distR="114300">
            <wp:extent cx="6125210" cy="3860800"/>
            <wp:effectExtent l="0" t="0" r="8890" b="635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6125210" cy="3860800"/>
                    </a:xfrm>
                    <a:prstGeom prst="rect">
                      <a:avLst/>
                    </a:prstGeom>
                    <a:noFill/>
                    <a:ln w="9525">
                      <a:noFill/>
                    </a:ln>
                  </pic:spPr>
                </pic:pic>
              </a:graphicData>
            </a:graphic>
          </wp:inline>
        </w:drawing>
      </w:r>
    </w:p>
    <w:p>
      <w:pPr>
        <w:pStyle w:val="3"/>
        <w:bidi w:val="0"/>
        <w:rPr>
          <w:rFonts w:hint="default"/>
          <w:lang w:val="en-US" w:eastAsia="zh-CN"/>
        </w:rPr>
      </w:pPr>
      <w:r>
        <w:rPr>
          <w:rFonts w:hint="eastAsia"/>
          <w:lang w:val="en-US" w:eastAsia="zh-CN"/>
        </w:rPr>
        <w:t>2、说明</w:t>
      </w:r>
    </w:p>
    <w:p>
      <w:pPr>
        <w:bidi w:val="0"/>
        <w:rPr>
          <w:rFonts w:hint="eastAsia"/>
          <w:lang w:val="en-US" w:eastAsia="zh-CN"/>
        </w:rPr>
      </w:pPr>
      <w:r>
        <w:rPr>
          <w:rFonts w:hint="eastAsia"/>
          <w:lang w:val="en-US" w:eastAsia="zh-CN"/>
        </w:rPr>
        <w:t>2.1 水表、电表均通过RS485联接到数据网关，数据网关通过现场网络或4G无线网络联接云服务器。</w:t>
      </w:r>
    </w:p>
    <w:p>
      <w:pPr>
        <w:bidi w:val="0"/>
        <w:rPr>
          <w:rFonts w:hint="eastAsia"/>
          <w:lang w:val="en-US" w:eastAsia="zh-CN"/>
        </w:rPr>
      </w:pPr>
      <w:r>
        <w:rPr>
          <w:rFonts w:hint="eastAsia"/>
          <w:lang w:val="en-US" w:eastAsia="zh-CN"/>
        </w:rPr>
        <w:t>2.2水表如果分户安装可选择NB-IOT无线智能水表，无需网络布线，保证稳定运行。</w:t>
      </w:r>
    </w:p>
    <w:p>
      <w:pPr>
        <w:pStyle w:val="2"/>
        <w:numPr>
          <w:ilvl w:val="0"/>
          <w:numId w:val="1"/>
        </w:numPr>
        <w:bidi w:val="0"/>
        <w:rPr>
          <w:rFonts w:hint="eastAsia"/>
          <w:lang w:val="en-US" w:eastAsia="zh-CN"/>
        </w:rPr>
      </w:pPr>
      <w:r>
        <w:rPr>
          <w:rFonts w:hint="eastAsia"/>
          <w:lang w:val="en-US" w:eastAsia="zh-CN"/>
        </w:rPr>
        <w:t>设计思路</w:t>
      </w:r>
    </w:p>
    <w:p>
      <w:pPr>
        <w:pStyle w:val="3"/>
        <w:bidi w:val="0"/>
      </w:pPr>
      <w:r>
        <w:rPr>
          <w:rFonts w:hint="default"/>
        </w:rPr>
        <w:t>1、预付费管理目的</w:t>
      </w:r>
    </w:p>
    <w:p>
      <w:pPr>
        <w:bidi w:val="0"/>
        <w:rPr>
          <w:rFonts w:hint="default"/>
        </w:rPr>
      </w:pPr>
      <w:r>
        <w:rPr>
          <w:rFonts w:hint="default"/>
        </w:rPr>
        <w:t>1.1 预付费管理实现预付费用、欠费关断，解决收费难的问题。</w:t>
      </w:r>
    </w:p>
    <w:p>
      <w:pPr>
        <w:bidi w:val="0"/>
        <w:rPr>
          <w:rFonts w:hint="default"/>
        </w:rPr>
      </w:pPr>
      <w:r>
        <w:rPr>
          <w:rFonts w:hint="default"/>
        </w:rPr>
        <w:t>1.2 预付费是一种管理手段，实现网络实时抄表，计量收费，避免了人工抄表和上门催费，减少了大量的人员和人工浪费。</w:t>
      </w:r>
    </w:p>
    <w:p>
      <w:pPr>
        <w:bidi w:val="0"/>
        <w:rPr>
          <w:rFonts w:hint="default"/>
        </w:rPr>
      </w:pPr>
      <w:r>
        <w:rPr>
          <w:rFonts w:hint="default"/>
        </w:rPr>
        <w:t>1.3 我们经过经过充分调研和实践开发了水电联合管理系统产品，该产品获得了国家颁发的实用新型专利，专利号为：ZL201020276665.2。</w:t>
      </w:r>
    </w:p>
    <w:p>
      <w:pPr>
        <w:bidi w:val="0"/>
        <w:rPr>
          <w:rFonts w:hint="default" w:eastAsiaTheme="minorEastAsia"/>
          <w:lang w:val="en-US" w:eastAsia="zh-CN"/>
        </w:rPr>
      </w:pPr>
      <w:r>
        <w:rPr>
          <w:rFonts w:hint="default"/>
        </w:rPr>
        <w:t xml:space="preserve">1.4 </w:t>
      </w:r>
      <w:r>
        <w:rPr>
          <w:rFonts w:hint="eastAsia"/>
          <w:lang w:val="en-US" w:eastAsia="zh-CN"/>
        </w:rPr>
        <w:t>实行欠费停电不停水的预付费管理策略，既能达到预付费管理的目的，有避免阀控水表的搞成本多维护弊端，是科学合理的物业水电管理系统。</w:t>
      </w:r>
    </w:p>
    <w:p>
      <w:pPr>
        <w:pStyle w:val="3"/>
        <w:bidi w:val="0"/>
        <w:rPr>
          <w:rFonts w:hint="eastAsia" w:eastAsia="宋体"/>
          <w:lang w:val="en-US" w:eastAsia="zh-CN"/>
        </w:rPr>
      </w:pPr>
      <w:r>
        <w:rPr>
          <w:rFonts w:hint="default"/>
        </w:rPr>
        <w:t>2、水电联合管控实现方</w:t>
      </w:r>
      <w:r>
        <w:rPr>
          <w:rFonts w:hint="eastAsia"/>
          <w:lang w:val="en-US" w:eastAsia="zh-CN"/>
        </w:rPr>
        <w:t>案</w:t>
      </w:r>
    </w:p>
    <w:p>
      <w:pPr>
        <w:bidi w:val="0"/>
        <w:rPr>
          <w:rFonts w:hint="default"/>
        </w:rPr>
      </w:pPr>
      <w:r>
        <w:rPr>
          <w:rFonts w:hint="default"/>
        </w:rPr>
        <w:t>2.1 采用智能远程费控电表，用户交费后后台软件直接通过网络把充值数据发送到终端计量表计。用户欠费后可自动或手动拉闸断电。</w:t>
      </w:r>
    </w:p>
    <w:p>
      <w:pPr>
        <w:bidi w:val="0"/>
        <w:rPr>
          <w:rFonts w:hint="default"/>
        </w:rPr>
      </w:pPr>
      <w:r>
        <w:rPr>
          <w:rFonts w:hint="default"/>
        </w:rPr>
        <w:t>2.2 采用光电直读式智能水表，实现水表数据与电表数据同时通过网络上传到管理中心。可同时接入热水表、热能表、然气表等收费计量表具。</w:t>
      </w:r>
    </w:p>
    <w:p>
      <w:pPr>
        <w:bidi w:val="0"/>
        <w:rPr>
          <w:rFonts w:hint="default"/>
        </w:rPr>
      </w:pPr>
      <w:r>
        <w:rPr>
          <w:rFonts w:hint="default"/>
        </w:rPr>
        <w:t>2.3 采用分类账户统计统一账户扣费的方式，实现水电账户绑定，水电联动管控，账户欠费时拉闸断电，有效实现自动缴费。</w:t>
      </w:r>
    </w:p>
    <w:p>
      <w:pPr>
        <w:bidi w:val="0"/>
        <w:rPr>
          <w:rFonts w:hint="default"/>
        </w:rPr>
      </w:pPr>
      <w:r>
        <w:rPr>
          <w:rFonts w:hint="default"/>
        </w:rPr>
        <w:t>2.4 水电联合管控系统既解决了老式预付费电表、阀控水表存在的弊端，大大降低后期维护成本，提高设备及系统的稳定可靠性，同时解决预付费用、无费自动缴费，实现了科学化、人性化管理。</w:t>
      </w:r>
    </w:p>
    <w:p>
      <w:pPr>
        <w:bidi w:val="0"/>
        <w:rPr>
          <w:rFonts w:hint="default"/>
        </w:rPr>
      </w:pPr>
      <w:r>
        <w:rPr>
          <w:rFonts w:hint="default"/>
        </w:rPr>
        <w:t>2.5水电联合管控系统可对设备进行在线监测，及时发现、维护、解决问题。</w:t>
      </w:r>
    </w:p>
    <w:p>
      <w:pPr>
        <w:widowControl w:val="0"/>
        <w:numPr>
          <w:ilvl w:val="0"/>
          <w:numId w:val="0"/>
        </w:numPr>
        <w:bidi w:val="0"/>
        <w:jc w:val="both"/>
        <w:rPr>
          <w:rFonts w:hint="default"/>
          <w:b/>
          <w:bCs/>
          <w:sz w:val="44"/>
          <w:szCs w:val="44"/>
          <w:lang w:val="en-US" w:eastAsia="zh-CN"/>
        </w:rPr>
      </w:pPr>
    </w:p>
    <w:p>
      <w:pPr>
        <w:widowControl w:val="0"/>
        <w:numPr>
          <w:ilvl w:val="0"/>
          <w:numId w:val="0"/>
        </w:numPr>
        <w:bidi w:val="0"/>
        <w:jc w:val="both"/>
        <w:rPr>
          <w:rFonts w:hint="default"/>
          <w:b/>
          <w:bCs/>
          <w:sz w:val="44"/>
          <w:szCs w:val="44"/>
          <w:lang w:val="en-US" w:eastAsia="zh-CN"/>
        </w:rPr>
      </w:pPr>
    </w:p>
    <w:p>
      <w:pPr>
        <w:widowControl w:val="0"/>
        <w:numPr>
          <w:ilvl w:val="0"/>
          <w:numId w:val="0"/>
        </w:numPr>
        <w:bidi w:val="0"/>
        <w:jc w:val="both"/>
        <w:rPr>
          <w:rFonts w:hint="default"/>
          <w:b/>
          <w:bCs/>
          <w:sz w:val="44"/>
          <w:szCs w:val="44"/>
          <w:lang w:val="en-US" w:eastAsia="zh-CN"/>
        </w:rPr>
      </w:pPr>
    </w:p>
    <w:p>
      <w:pPr>
        <w:widowControl w:val="0"/>
        <w:numPr>
          <w:ilvl w:val="0"/>
          <w:numId w:val="0"/>
        </w:numPr>
        <w:bidi w:val="0"/>
        <w:jc w:val="both"/>
        <w:rPr>
          <w:rFonts w:hint="default"/>
          <w:b/>
          <w:bCs/>
          <w:sz w:val="44"/>
          <w:szCs w:val="44"/>
          <w:lang w:val="en-US" w:eastAsia="zh-CN"/>
        </w:rPr>
      </w:pPr>
    </w:p>
    <w:p>
      <w:pPr>
        <w:widowControl w:val="0"/>
        <w:numPr>
          <w:ilvl w:val="0"/>
          <w:numId w:val="0"/>
        </w:numPr>
        <w:bidi w:val="0"/>
        <w:jc w:val="both"/>
        <w:rPr>
          <w:rFonts w:hint="default"/>
          <w:b/>
          <w:bCs/>
          <w:sz w:val="44"/>
          <w:szCs w:val="44"/>
          <w:lang w:val="en-US" w:eastAsia="zh-CN"/>
        </w:rPr>
      </w:pPr>
    </w:p>
    <w:p>
      <w:pPr>
        <w:pStyle w:val="2"/>
        <w:numPr>
          <w:ilvl w:val="0"/>
          <w:numId w:val="1"/>
        </w:numPr>
        <w:bidi w:val="0"/>
        <w:rPr>
          <w:rFonts w:hint="eastAsia"/>
          <w:b/>
          <w:lang w:val="en-US" w:eastAsia="zh-CN"/>
        </w:rPr>
      </w:pPr>
      <w:r>
        <w:rPr>
          <w:rFonts w:hint="eastAsia"/>
          <w:b/>
          <w:lang w:val="en-US" w:eastAsia="zh-CN"/>
        </w:rPr>
        <w:t>产品图片</w:t>
      </w:r>
    </w:p>
    <w:p>
      <w:pPr>
        <w:pStyle w:val="3"/>
        <w:bidi w:val="0"/>
        <w:rPr>
          <w:rFonts w:hint="default"/>
          <w:lang w:val="en-US" w:eastAsia="zh-CN"/>
        </w:rPr>
      </w:pPr>
      <w:r>
        <w:rPr>
          <w:rFonts w:hint="eastAsia"/>
          <w:lang w:val="en-US" w:eastAsia="zh-CN"/>
        </w:rPr>
        <w:t>1、智能电表系列</w:t>
      </w:r>
    </w:p>
    <w:p>
      <w:pPr>
        <w:rPr>
          <w:rFonts w:hint="eastAsia"/>
          <w:lang w:val="en-US" w:eastAsia="zh-CN"/>
        </w:rPr>
      </w:pPr>
      <w:r>
        <w:rPr>
          <w:rFonts w:ascii="宋体" w:hAnsi="宋体" w:eastAsia="宋体" w:cs="宋体"/>
          <w:sz w:val="24"/>
          <w:szCs w:val="24"/>
        </w:rPr>
        <w:drawing>
          <wp:inline distT="0" distB="0" distL="114300" distR="114300">
            <wp:extent cx="1715770" cy="1715770"/>
            <wp:effectExtent l="0" t="0" r="17780" b="17780"/>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6"/>
                    <a:stretch>
                      <a:fillRect/>
                    </a:stretch>
                  </pic:blipFill>
                  <pic:spPr>
                    <a:xfrm>
                      <a:off x="0" y="0"/>
                      <a:ext cx="1715770" cy="171577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1800860" cy="1800860"/>
            <wp:effectExtent l="0" t="0" r="8890" b="8890"/>
            <wp:docPr id="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56"/>
                    <pic:cNvPicPr>
                      <a:picLocks noChangeAspect="1"/>
                    </pic:cNvPicPr>
                  </pic:nvPicPr>
                  <pic:blipFill>
                    <a:blip r:embed="rId7"/>
                    <a:stretch>
                      <a:fillRect/>
                    </a:stretch>
                  </pic:blipFill>
                  <pic:spPr>
                    <a:xfrm>
                      <a:off x="0" y="0"/>
                      <a:ext cx="1800860" cy="1800860"/>
                    </a:xfrm>
                    <a:prstGeom prst="rect">
                      <a:avLst/>
                    </a:prstGeom>
                    <a:noFill/>
                    <a:ln w="9525">
                      <a:noFill/>
                    </a:ln>
                  </pic:spPr>
                </pic:pic>
              </a:graphicData>
            </a:graphic>
          </wp:inline>
        </w:drawing>
      </w:r>
    </w:p>
    <w:p>
      <w:pPr>
        <w:ind w:firstLine="1205" w:firstLineChars="500"/>
        <w:rPr>
          <w:rFonts w:hint="default"/>
          <w:b/>
          <w:lang w:val="en-US" w:eastAsia="zh-CN"/>
        </w:rPr>
      </w:pPr>
      <w:r>
        <w:rPr>
          <w:rFonts w:hint="eastAsia"/>
          <w:b/>
          <w:lang w:val="en-US" w:eastAsia="zh-CN"/>
        </w:rPr>
        <w:t>标准型智能电表                           智能电能计量模块</w:t>
      </w:r>
    </w:p>
    <w:p>
      <w:pPr>
        <w:rPr>
          <w:rFonts w:hint="default"/>
          <w:b/>
          <w:lang w:val="en-US" w:eastAsia="zh-CN"/>
        </w:rPr>
      </w:pPr>
      <w:r>
        <w:rPr>
          <w:rFonts w:hint="eastAsia"/>
          <w:b/>
          <w:lang w:val="en-US" w:eastAsia="zh-CN"/>
        </w:rPr>
        <w:t>（具有单路、双路、三路三种不同控制类型）      （具有单路、双路二种控制类型）</w:t>
      </w:r>
    </w:p>
    <w:p>
      <w:pPr>
        <w:rPr>
          <w:rFonts w:hint="eastAsia"/>
          <w:b/>
          <w:lang w:val="en-US" w:eastAsia="zh-CN"/>
        </w:rPr>
      </w:pP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1638300" cy="1638300"/>
            <wp:effectExtent l="0" t="0" r="0" b="0"/>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8"/>
                    <a:stretch>
                      <a:fillRect/>
                    </a:stretch>
                  </pic:blipFill>
                  <pic:spPr>
                    <a:xfrm>
                      <a:off x="0" y="0"/>
                      <a:ext cx="1638300" cy="163830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1783080" cy="1783080"/>
            <wp:effectExtent l="0" t="0" r="7620" b="7620"/>
            <wp:docPr id="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6"/>
                    <pic:cNvPicPr>
                      <a:picLocks noChangeAspect="1"/>
                    </pic:cNvPicPr>
                  </pic:nvPicPr>
                  <pic:blipFill>
                    <a:blip r:embed="rId9"/>
                    <a:stretch>
                      <a:fillRect/>
                    </a:stretch>
                  </pic:blipFill>
                  <pic:spPr>
                    <a:xfrm>
                      <a:off x="0" y="0"/>
                      <a:ext cx="1783080" cy="1783080"/>
                    </a:xfrm>
                    <a:prstGeom prst="rect">
                      <a:avLst/>
                    </a:prstGeom>
                    <a:noFill/>
                    <a:ln w="9525">
                      <a:noFill/>
                    </a:ln>
                  </pic:spPr>
                </pic:pic>
              </a:graphicData>
            </a:graphic>
          </wp:inline>
        </w:drawing>
      </w:r>
    </w:p>
    <w:p>
      <w:pPr>
        <w:ind w:firstLine="723" w:firstLineChars="300"/>
        <w:rPr>
          <w:rFonts w:hint="default"/>
          <w:b/>
          <w:lang w:val="en-US" w:eastAsia="zh-CN"/>
        </w:rPr>
      </w:pPr>
      <w:r>
        <w:rPr>
          <w:rFonts w:hint="eastAsia"/>
          <w:b/>
          <w:lang w:val="en-US" w:eastAsia="zh-CN"/>
        </w:rPr>
        <w:t>导轨型智能电表                                导轨型智能电表</w:t>
      </w:r>
    </w:p>
    <w:p>
      <w:pPr>
        <w:rPr>
          <w:rFonts w:hint="eastAsia"/>
          <w:b/>
          <w:sz w:val="21"/>
          <w:szCs w:val="21"/>
          <w:lang w:val="en-US" w:eastAsia="zh-CN"/>
        </w:rPr>
      </w:pPr>
      <w:r>
        <w:rPr>
          <w:rFonts w:hint="eastAsia"/>
          <w:b/>
          <w:sz w:val="21"/>
          <w:szCs w:val="21"/>
          <w:lang w:val="en-US" w:eastAsia="zh-CN"/>
        </w:rPr>
        <w:t>（具有单路、双路路二种不同控制类型）                  （具有三路、四路四种控制类型）</w:t>
      </w:r>
    </w:p>
    <w:p>
      <w:pPr>
        <w:rPr>
          <w:rFonts w:hint="eastAsia"/>
          <w:b/>
          <w:lang w:val="en-US" w:eastAsia="zh-CN"/>
        </w:rPr>
      </w:pPr>
    </w:p>
    <w:p>
      <w:pPr>
        <w:rPr>
          <w:rFonts w:ascii="宋体" w:hAnsi="宋体" w:eastAsia="宋体" w:cs="宋体"/>
          <w:sz w:val="24"/>
          <w:szCs w:val="24"/>
        </w:rPr>
      </w:pPr>
      <w:r>
        <w:rPr>
          <w:rFonts w:ascii="宋体" w:hAnsi="宋体" w:eastAsia="宋体" w:cs="宋体"/>
          <w:sz w:val="24"/>
          <w:szCs w:val="24"/>
        </w:rPr>
        <w:drawing>
          <wp:inline distT="0" distB="0" distL="114300" distR="114300">
            <wp:extent cx="2493010" cy="2267585"/>
            <wp:effectExtent l="0" t="0" r="2540" b="18415"/>
            <wp:docPr id="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56"/>
                    <pic:cNvPicPr>
                      <a:picLocks noChangeAspect="1"/>
                    </pic:cNvPicPr>
                  </pic:nvPicPr>
                  <pic:blipFill>
                    <a:blip r:embed="rId10"/>
                    <a:stretch>
                      <a:fillRect/>
                    </a:stretch>
                  </pic:blipFill>
                  <pic:spPr>
                    <a:xfrm>
                      <a:off x="0" y="0"/>
                      <a:ext cx="2493010" cy="2267585"/>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359025" cy="2359025"/>
            <wp:effectExtent l="0" t="0" r="3175" b="3175"/>
            <wp:docPr id="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56"/>
                    <pic:cNvPicPr>
                      <a:picLocks noChangeAspect="1"/>
                    </pic:cNvPicPr>
                  </pic:nvPicPr>
                  <pic:blipFill>
                    <a:blip r:embed="rId11"/>
                    <a:stretch>
                      <a:fillRect/>
                    </a:stretch>
                  </pic:blipFill>
                  <pic:spPr>
                    <a:xfrm>
                      <a:off x="0" y="0"/>
                      <a:ext cx="2359025" cy="2359025"/>
                    </a:xfrm>
                    <a:prstGeom prst="rect">
                      <a:avLst/>
                    </a:prstGeom>
                    <a:noFill/>
                    <a:ln w="9525">
                      <a:noFill/>
                    </a:ln>
                  </pic:spPr>
                </pic:pic>
              </a:graphicData>
            </a:graphic>
          </wp:inline>
        </w:drawing>
      </w:r>
    </w:p>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三相远程费控智能电表（导轨式）              三相远程费控智能电表（国网型）</w:t>
      </w:r>
    </w:p>
    <w:p>
      <w:pPr>
        <w:pStyle w:val="3"/>
        <w:numPr>
          <w:ilvl w:val="0"/>
          <w:numId w:val="4"/>
        </w:numPr>
        <w:bidi w:val="0"/>
        <w:rPr>
          <w:rFonts w:hint="eastAsia"/>
          <w:lang w:val="en-US" w:eastAsia="zh-CN"/>
        </w:rPr>
      </w:pPr>
      <w:r>
        <w:rPr>
          <w:rFonts w:hint="eastAsia"/>
          <w:lang w:val="en-US" w:eastAsia="zh-CN"/>
        </w:rPr>
        <w:t>智能水表系列</w:t>
      </w:r>
    </w:p>
    <w:p>
      <w:pPr>
        <w:numPr>
          <w:ilvl w:val="0"/>
          <w:numId w:val="0"/>
        </w:numPr>
        <w:rPr>
          <w:rFonts w:hint="default"/>
          <w:b/>
          <w:lang w:val="en-US" w:eastAsia="zh-CN"/>
        </w:rPr>
      </w:pPr>
      <w:r>
        <w:rPr>
          <w:rFonts w:ascii="宋体" w:hAnsi="宋体" w:eastAsia="宋体" w:cs="宋体"/>
          <w:sz w:val="24"/>
          <w:szCs w:val="24"/>
        </w:rPr>
        <w:drawing>
          <wp:inline distT="0" distB="0" distL="114300" distR="114300">
            <wp:extent cx="2106295" cy="2106295"/>
            <wp:effectExtent l="0" t="0" r="8255" b="8255"/>
            <wp:docPr id="9"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56"/>
                    <pic:cNvPicPr>
                      <a:picLocks noChangeAspect="1"/>
                    </pic:cNvPicPr>
                  </pic:nvPicPr>
                  <pic:blipFill>
                    <a:blip r:embed="rId12"/>
                    <a:stretch>
                      <a:fillRect/>
                    </a:stretch>
                  </pic:blipFill>
                  <pic:spPr>
                    <a:xfrm>
                      <a:off x="0" y="0"/>
                      <a:ext cx="2106295" cy="2106295"/>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1773555" cy="1773555"/>
            <wp:effectExtent l="0" t="0" r="17145" b="17145"/>
            <wp:docPr id="10"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56"/>
                    <pic:cNvPicPr>
                      <a:picLocks noChangeAspect="1"/>
                    </pic:cNvPicPr>
                  </pic:nvPicPr>
                  <pic:blipFill>
                    <a:blip r:embed="rId13"/>
                    <a:stretch>
                      <a:fillRect/>
                    </a:stretch>
                  </pic:blipFill>
                  <pic:spPr>
                    <a:xfrm>
                      <a:off x="0" y="0"/>
                      <a:ext cx="1773555" cy="1773555"/>
                    </a:xfrm>
                    <a:prstGeom prst="rect">
                      <a:avLst/>
                    </a:prstGeom>
                    <a:noFill/>
                    <a:ln w="9525">
                      <a:noFill/>
                    </a:ln>
                  </pic:spPr>
                </pic:pic>
              </a:graphicData>
            </a:graphic>
          </wp:inline>
        </w:drawing>
      </w:r>
    </w:p>
    <w:p>
      <w:pPr>
        <w:numPr>
          <w:ilvl w:val="0"/>
          <w:numId w:val="0"/>
        </w:numPr>
        <w:ind w:firstLine="1205" w:firstLineChars="500"/>
        <w:rPr>
          <w:rFonts w:hint="default"/>
          <w:b/>
          <w:lang w:val="en-US" w:eastAsia="zh-CN"/>
        </w:rPr>
      </w:pPr>
      <w:r>
        <w:rPr>
          <w:rFonts w:hint="eastAsia"/>
          <w:b/>
          <w:lang w:val="en-US" w:eastAsia="zh-CN"/>
        </w:rPr>
        <w:t xml:space="preserve">光电直读远传智能水表                      光电直读远传阀控水表      </w:t>
      </w:r>
    </w:p>
    <w:p>
      <w:pPr>
        <w:numPr>
          <w:ilvl w:val="0"/>
          <w:numId w:val="0"/>
        </w:numPr>
        <w:rPr>
          <w:rFonts w:hint="default"/>
          <w:b/>
          <w:lang w:val="en-US" w:eastAsia="zh-CN"/>
        </w:rPr>
      </w:pPr>
    </w:p>
    <w:p>
      <w:pPr>
        <w:numPr>
          <w:ilvl w:val="0"/>
          <w:numId w:val="0"/>
        </w:numPr>
        <w:rPr>
          <w:rFonts w:ascii="宋体" w:hAnsi="宋体" w:eastAsia="宋体" w:cs="宋体"/>
          <w:sz w:val="24"/>
          <w:szCs w:val="24"/>
        </w:rPr>
      </w:pPr>
      <w:r>
        <w:rPr>
          <w:rFonts w:ascii="宋体" w:hAnsi="宋体" w:eastAsia="宋体" w:cs="宋体"/>
          <w:sz w:val="24"/>
          <w:szCs w:val="24"/>
        </w:rPr>
        <w:drawing>
          <wp:inline distT="0" distB="0" distL="114300" distR="114300">
            <wp:extent cx="2239010" cy="2239010"/>
            <wp:effectExtent l="0" t="0" r="8890" b="8890"/>
            <wp:docPr id="12"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256"/>
                    <pic:cNvPicPr>
                      <a:picLocks noChangeAspect="1"/>
                    </pic:cNvPicPr>
                  </pic:nvPicPr>
                  <pic:blipFill>
                    <a:blip r:embed="rId14"/>
                    <a:stretch>
                      <a:fillRect/>
                    </a:stretch>
                  </pic:blipFill>
                  <pic:spPr>
                    <a:xfrm>
                      <a:off x="0" y="0"/>
                      <a:ext cx="2239010" cy="223901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1859280" cy="1859280"/>
            <wp:effectExtent l="0" t="0" r="7620" b="7620"/>
            <wp:docPr id="13"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IMG_256"/>
                    <pic:cNvPicPr>
                      <a:picLocks noChangeAspect="1"/>
                    </pic:cNvPicPr>
                  </pic:nvPicPr>
                  <pic:blipFill>
                    <a:blip r:embed="rId15"/>
                    <a:stretch>
                      <a:fillRect/>
                    </a:stretch>
                  </pic:blipFill>
                  <pic:spPr>
                    <a:xfrm>
                      <a:off x="0" y="0"/>
                      <a:ext cx="1859280" cy="1859280"/>
                    </a:xfrm>
                    <a:prstGeom prst="rect">
                      <a:avLst/>
                    </a:prstGeom>
                    <a:noFill/>
                    <a:ln w="9525">
                      <a:noFill/>
                    </a:ln>
                  </pic:spPr>
                </pic:pic>
              </a:graphicData>
            </a:graphic>
          </wp:inline>
        </w:drawing>
      </w:r>
    </w:p>
    <w:p>
      <w:pPr>
        <w:numPr>
          <w:ilvl w:val="0"/>
          <w:numId w:val="0"/>
        </w:numPr>
        <w:ind w:firstLine="960" w:firstLineChars="4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NB-IOT无线远传智能水表                 NB-IOT无线远传阀控智能水表     </w:t>
      </w:r>
    </w:p>
    <w:p>
      <w:pPr>
        <w:pStyle w:val="3"/>
        <w:bidi w:val="0"/>
        <w:rPr>
          <w:rFonts w:hint="default"/>
          <w:lang w:val="en-US" w:eastAsia="zh-CN"/>
        </w:rPr>
      </w:pPr>
      <w:r>
        <w:rPr>
          <w:rFonts w:hint="eastAsia"/>
          <w:lang w:val="en-US" w:eastAsia="zh-CN"/>
        </w:rPr>
        <w:t>3、智能数据网关</w:t>
      </w:r>
    </w:p>
    <w:p>
      <w:pPr>
        <w:rPr>
          <w:rFonts w:hint="eastAsia"/>
          <w:b/>
          <w:lang w:val="en-US" w:eastAsia="zh-CN"/>
        </w:rPr>
      </w:pPr>
      <w:r>
        <w:rPr>
          <w:rFonts w:ascii="宋体" w:hAnsi="宋体" w:eastAsia="宋体" w:cs="宋体"/>
          <w:sz w:val="24"/>
          <w:szCs w:val="24"/>
        </w:rPr>
        <w:drawing>
          <wp:inline distT="0" distB="0" distL="114300" distR="114300">
            <wp:extent cx="2226945" cy="1868170"/>
            <wp:effectExtent l="0" t="0" r="1905" b="17780"/>
            <wp:docPr id="14"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IMG_256"/>
                    <pic:cNvPicPr>
                      <a:picLocks noChangeAspect="1"/>
                    </pic:cNvPicPr>
                  </pic:nvPicPr>
                  <pic:blipFill>
                    <a:blip r:embed="rId16"/>
                    <a:stretch>
                      <a:fillRect/>
                    </a:stretch>
                  </pic:blipFill>
                  <pic:spPr>
                    <a:xfrm>
                      <a:off x="0" y="0"/>
                      <a:ext cx="2226945" cy="186817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162175" cy="1962785"/>
            <wp:effectExtent l="0" t="0" r="9525" b="18415"/>
            <wp:docPr id="15"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IMG_256"/>
                    <pic:cNvPicPr>
                      <a:picLocks noChangeAspect="1"/>
                    </pic:cNvPicPr>
                  </pic:nvPicPr>
                  <pic:blipFill>
                    <a:blip r:embed="rId17"/>
                    <a:stretch>
                      <a:fillRect/>
                    </a:stretch>
                  </pic:blipFill>
                  <pic:spPr>
                    <a:xfrm>
                      <a:off x="0" y="0"/>
                      <a:ext cx="2162175" cy="1962785"/>
                    </a:xfrm>
                    <a:prstGeom prst="rect">
                      <a:avLst/>
                    </a:prstGeom>
                    <a:noFill/>
                    <a:ln w="9525">
                      <a:noFill/>
                    </a:ln>
                  </pic:spPr>
                </pic:pic>
              </a:graphicData>
            </a:graphic>
          </wp:inline>
        </w:drawing>
      </w:r>
    </w:p>
    <w:p>
      <w:pPr>
        <w:ind w:firstLine="1205" w:firstLineChars="500"/>
        <w:rPr>
          <w:rFonts w:hint="default"/>
          <w:b/>
          <w:lang w:val="en-US" w:eastAsia="zh-CN"/>
        </w:rPr>
      </w:pPr>
      <w:r>
        <w:rPr>
          <w:rFonts w:hint="eastAsia"/>
          <w:b/>
          <w:lang w:val="en-US" w:eastAsia="zh-CN"/>
        </w:rPr>
        <w:t>智能数据网关                             MBUS水表专用数据网关</w:t>
      </w:r>
    </w:p>
    <w:p>
      <w:pPr>
        <w:rPr>
          <w:rFonts w:hint="eastAsia"/>
          <w:b/>
          <w:lang w:val="en-US" w:eastAsia="zh-CN"/>
        </w:rPr>
      </w:pPr>
    </w:p>
    <w:p>
      <w:pPr>
        <w:pStyle w:val="2"/>
        <w:keepNext/>
        <w:keepLines/>
        <w:pageBreakBefore w:val="0"/>
        <w:widowControl w:val="0"/>
        <w:numPr>
          <w:ilvl w:val="0"/>
          <w:numId w:val="1"/>
        </w:numPr>
        <w:kinsoku/>
        <w:wordWrap/>
        <w:overflowPunct/>
        <w:topLinePunct w:val="0"/>
        <w:autoSpaceDE/>
        <w:autoSpaceDN/>
        <w:bidi w:val="0"/>
        <w:adjustRightInd/>
        <w:snapToGrid/>
        <w:spacing w:before="340" w:after="330"/>
        <w:textAlignment w:val="auto"/>
        <w:rPr>
          <w:rFonts w:hint="default"/>
        </w:rPr>
      </w:pPr>
      <w:r>
        <w:rPr>
          <w:rFonts w:hint="eastAsia"/>
          <w:lang w:val="en-US" w:eastAsia="zh-CN"/>
        </w:rPr>
        <w:t>产品特点</w:t>
      </w:r>
    </w:p>
    <w:p>
      <w:pPr>
        <w:pStyle w:val="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lang w:val="en-US"/>
        </w:rPr>
      </w:pPr>
      <w:r>
        <w:rPr>
          <w:rFonts w:hint="eastAsia"/>
          <w:lang w:val="en-US" w:eastAsia="zh-CN"/>
        </w:rPr>
        <w:t>1、智能电表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eastAsia"/>
          <w:sz w:val="24"/>
          <w:szCs w:val="24"/>
          <w:lang w:val="en-US" w:eastAsia="zh-CN"/>
        </w:rPr>
        <w:t>1.1 每个通道</w:t>
      </w:r>
      <w:r>
        <w:rPr>
          <w:rFonts w:hint="default"/>
          <w:sz w:val="24"/>
          <w:szCs w:val="24"/>
        </w:rPr>
        <w:t>计量精度均达到1.0级以上，具有RS485通讯数据传输接口，光电隔离设计，具有防雷功能；</w:t>
      </w:r>
      <w:r>
        <w:rPr>
          <w:rFonts w:hint="default"/>
          <w:sz w:val="24"/>
          <w:szCs w:val="24"/>
        </w:rPr>
        <w:br w:type="textWrapping"/>
      </w:r>
      <w:r>
        <w:rPr>
          <w:rFonts w:hint="eastAsia"/>
          <w:sz w:val="24"/>
          <w:szCs w:val="24"/>
          <w:lang w:val="en-US" w:eastAsia="zh-CN"/>
        </w:rPr>
        <w:t xml:space="preserve">1.2 </w:t>
      </w:r>
      <w:r>
        <w:rPr>
          <w:rFonts w:hint="default"/>
          <w:sz w:val="24"/>
          <w:szCs w:val="24"/>
        </w:rPr>
        <w:t>计量芯片采用进口具有程序扩展功能的CS5463，表内自带进口单片机可独立下载并实现系统软件所设定管理功能；</w:t>
      </w:r>
      <w:r>
        <w:rPr>
          <w:rFonts w:hint="default"/>
          <w:sz w:val="24"/>
          <w:szCs w:val="24"/>
        </w:rPr>
        <w:br w:type="textWrapping"/>
      </w:r>
      <w:r>
        <w:rPr>
          <w:rFonts w:hint="eastAsia"/>
          <w:sz w:val="24"/>
          <w:szCs w:val="24"/>
          <w:lang w:val="en-US" w:eastAsia="zh-CN"/>
        </w:rPr>
        <w:t xml:space="preserve">1.3 </w:t>
      </w:r>
      <w:r>
        <w:rPr>
          <w:rFonts w:hint="default"/>
          <w:sz w:val="24"/>
          <w:szCs w:val="24"/>
        </w:rPr>
        <w:t>电表自身具备数据存储功能，当与管理计算机通讯后立即上传电能采集数据</w:t>
      </w:r>
      <w:r>
        <w:rPr>
          <w:rFonts w:hint="eastAsia"/>
          <w:sz w:val="24"/>
          <w:szCs w:val="24"/>
          <w:lang w:eastAsia="zh-CN"/>
        </w:rPr>
        <w:t>，</w:t>
      </w:r>
      <w:r>
        <w:rPr>
          <w:rFonts w:hint="eastAsia"/>
          <w:sz w:val="24"/>
          <w:szCs w:val="24"/>
          <w:lang w:val="en-US" w:eastAsia="zh-CN"/>
        </w:rPr>
        <w:t>实现脱机运行</w:t>
      </w:r>
      <w:r>
        <w:rPr>
          <w:rFonts w:hint="default"/>
          <w:sz w:val="24"/>
          <w:szCs w:val="24"/>
        </w:rPr>
        <w:t>；</w:t>
      </w:r>
      <w:r>
        <w:rPr>
          <w:rFonts w:hint="default"/>
          <w:sz w:val="24"/>
          <w:szCs w:val="24"/>
        </w:rPr>
        <w:br w:type="textWrapping"/>
      </w:r>
      <w:r>
        <w:rPr>
          <w:rFonts w:hint="eastAsia"/>
          <w:sz w:val="24"/>
          <w:szCs w:val="24"/>
          <w:lang w:val="en-US" w:eastAsia="zh-CN"/>
        </w:rPr>
        <w:t>1.4 液晶电表</w:t>
      </w:r>
      <w:r>
        <w:rPr>
          <w:rFonts w:hint="default"/>
          <w:sz w:val="24"/>
          <w:szCs w:val="24"/>
        </w:rPr>
        <w:t>具有显示：剩余电量、总用电量、已购电量的功能，方便学生查看并掌握用电情况；</w:t>
      </w:r>
      <w:r>
        <w:rPr>
          <w:rFonts w:hint="default"/>
          <w:sz w:val="24"/>
          <w:szCs w:val="24"/>
        </w:rPr>
        <w:br w:type="textWrapping"/>
      </w:r>
      <w:r>
        <w:rPr>
          <w:rFonts w:hint="eastAsia"/>
          <w:sz w:val="24"/>
          <w:szCs w:val="24"/>
          <w:lang w:val="en-US" w:eastAsia="zh-CN"/>
        </w:rPr>
        <w:t xml:space="preserve">1.5 </w:t>
      </w:r>
      <w:r>
        <w:rPr>
          <w:rFonts w:hint="default"/>
          <w:sz w:val="24"/>
          <w:szCs w:val="24"/>
        </w:rPr>
        <w:t>均能独立工作并同时具有恶意负载的识别功能，能对30W以上甚至更小的阻性负载进行有效识别，而不影响其他电器的正常使用，为杜绝安全隐患提供了可靠保证；</w:t>
      </w:r>
      <w:r>
        <w:rPr>
          <w:rFonts w:hint="default"/>
          <w:sz w:val="24"/>
          <w:szCs w:val="24"/>
        </w:rPr>
        <w:br w:type="textWrapping"/>
      </w:r>
      <w:r>
        <w:rPr>
          <w:rFonts w:hint="eastAsia"/>
          <w:sz w:val="24"/>
          <w:szCs w:val="24"/>
          <w:lang w:val="en-US" w:eastAsia="zh-CN"/>
        </w:rPr>
        <w:t xml:space="preserve">1.6 </w:t>
      </w:r>
      <w:r>
        <w:rPr>
          <w:rFonts w:hint="default"/>
          <w:sz w:val="24"/>
          <w:szCs w:val="24"/>
        </w:rPr>
        <w:t>具有标准型、导轨型、模块型适应不同场所的结构型式，安装简单，便于维护，一个电表发生故障不影响其他设备的正常使用；</w:t>
      </w:r>
      <w:r>
        <w:rPr>
          <w:rFonts w:hint="default"/>
          <w:sz w:val="24"/>
          <w:szCs w:val="24"/>
        </w:rPr>
        <w:br w:type="textWrapping"/>
      </w:r>
      <w:r>
        <w:rPr>
          <w:rFonts w:hint="eastAsia"/>
          <w:sz w:val="24"/>
          <w:szCs w:val="24"/>
          <w:lang w:val="en-US" w:eastAsia="zh-CN"/>
        </w:rPr>
        <w:t xml:space="preserve">1.7 </w:t>
      </w:r>
      <w:r>
        <w:rPr>
          <w:rFonts w:hint="default"/>
          <w:sz w:val="24"/>
          <w:szCs w:val="24"/>
        </w:rPr>
        <w:t>智能电表根据不同需求可选择单回路、双回路、三回路、四回路，实现宿舍用电的分项细化管理。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Theme="minorEastAsia"/>
          <w:sz w:val="24"/>
          <w:szCs w:val="24"/>
          <w:lang w:val="en-US" w:eastAsia="zh-CN"/>
        </w:rPr>
      </w:pPr>
      <w:r>
        <w:rPr>
          <w:rFonts w:hint="eastAsia"/>
          <w:sz w:val="24"/>
          <w:szCs w:val="24"/>
          <w:lang w:val="en-US" w:eastAsia="zh-CN"/>
        </w:rPr>
        <w:t>1.8每个回路均具有恶性负载识别、分时限流断电、空调专用识别、温度安全检测、红外抄表控制等安全用电管理功能</w:t>
      </w:r>
    </w:p>
    <w:p>
      <w:pPr>
        <w:pStyle w:val="3"/>
        <w:bidi w:val="0"/>
        <w:rPr>
          <w:rFonts w:hint="eastAsia"/>
          <w:lang w:val="en-US" w:eastAsia="zh-CN"/>
        </w:rPr>
      </w:pPr>
      <w:r>
        <w:rPr>
          <w:rFonts w:hint="eastAsia"/>
          <w:lang w:val="en-US" w:eastAsia="zh-CN"/>
        </w:rPr>
        <w:t>2、智能水表</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sz w:val="24"/>
          <w:szCs w:val="24"/>
          <w:lang w:val="en-US" w:eastAsia="zh-CN"/>
        </w:rPr>
        <w:t>2.</w:t>
      </w:r>
      <w:r>
        <w:rPr>
          <w:rFonts w:hint="default"/>
          <w:sz w:val="24"/>
          <w:szCs w:val="24"/>
        </w:rPr>
        <w:t>1</w:t>
      </w:r>
      <w:r>
        <w:rPr>
          <w:rFonts w:hint="eastAsia"/>
          <w:sz w:val="24"/>
          <w:szCs w:val="24"/>
          <w:lang w:val="en-US" w:eastAsia="zh-CN"/>
        </w:rPr>
        <w:t xml:space="preserve"> </w:t>
      </w:r>
      <w:r>
        <w:rPr>
          <w:rFonts w:hint="default"/>
          <w:sz w:val="24"/>
          <w:szCs w:val="24"/>
        </w:rPr>
        <w:t>直接读取表计的计数器码盘示数，即“表记窗口值”，不存在累计脉冲与换算数值的二次计量过程，没有累计误差。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eastAsia"/>
          <w:sz w:val="24"/>
          <w:szCs w:val="24"/>
          <w:lang w:val="en-US" w:eastAsia="zh-CN"/>
        </w:rPr>
        <w:t xml:space="preserve">2.2 </w:t>
      </w:r>
      <w:r>
        <w:rPr>
          <w:rFonts w:hint="default"/>
          <w:sz w:val="24"/>
          <w:szCs w:val="24"/>
        </w:rPr>
        <w:t>表计内的电子部分与表计的计数码盘等装置没有任何机械接触，不影响表计计量精度，不改变机械计量的显示方式。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eastAsia"/>
          <w:sz w:val="24"/>
          <w:szCs w:val="24"/>
          <w:lang w:val="en-US" w:eastAsia="zh-CN"/>
        </w:rPr>
        <w:t xml:space="preserve">2.3 </w:t>
      </w:r>
      <w:r>
        <w:rPr>
          <w:rFonts w:hint="default"/>
          <w:sz w:val="24"/>
          <w:szCs w:val="24"/>
        </w:rPr>
        <w:t>采用先进的编码计术和位置识别算法，确保了对字轮码盘示数的准确识别，彻底解决了多位字轮码盘同时转动因机械不同步而产生的进位准确识别问题。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eastAsia"/>
          <w:sz w:val="24"/>
          <w:szCs w:val="24"/>
          <w:lang w:val="en-US" w:eastAsia="zh-CN"/>
        </w:rPr>
        <w:t xml:space="preserve">2.4 </w:t>
      </w:r>
      <w:r>
        <w:rPr>
          <w:rFonts w:hint="default"/>
          <w:sz w:val="24"/>
          <w:szCs w:val="24"/>
        </w:rPr>
        <w:t>采用对射式光电信号采集方式，直接识别4位字轮码盘数字，杜绝了千位字轮使用软件判别方式而产生的读数错乱现象。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eastAsia"/>
          <w:sz w:val="24"/>
          <w:szCs w:val="24"/>
          <w:lang w:val="en-US" w:eastAsia="zh-CN"/>
        </w:rPr>
        <w:t xml:space="preserve">2.5 </w:t>
      </w:r>
      <w:r>
        <w:rPr>
          <w:rFonts w:hint="default"/>
          <w:sz w:val="24"/>
          <w:szCs w:val="24"/>
        </w:rPr>
        <w:t>能自动检测光电器件的性能参数，当任何一个光电器件损坏时，光电直读电子模块均能检测判别和上报到手持抄表终端和上位机，并且不再识别仪表当前示数，从而杜绝了因光电器件损坏而产生的读数错乱现象。</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eastAsia"/>
          <w:sz w:val="24"/>
          <w:szCs w:val="24"/>
          <w:lang w:val="en-US" w:eastAsia="zh-CN"/>
        </w:rPr>
        <w:t xml:space="preserve">2.6 </w:t>
      </w:r>
      <w:r>
        <w:rPr>
          <w:rFonts w:hint="default"/>
          <w:sz w:val="24"/>
          <w:szCs w:val="24"/>
        </w:rPr>
        <w:t>采用低功耗设计，平常无需供电，表内不需要电池，只在抄表瞬间有采集器或手持抄表器供电工作，可实现现场手动抄表和远程自动抄表。</w:t>
      </w:r>
    </w:p>
    <w:p>
      <w:pPr>
        <w:pStyle w:val="3"/>
        <w:bidi w:val="0"/>
        <w:rPr>
          <w:rFonts w:hint="eastAsia"/>
          <w:lang w:val="en-US" w:eastAsia="zh-CN"/>
        </w:rPr>
      </w:pPr>
      <w:r>
        <w:rPr>
          <w:rFonts w:hint="eastAsia"/>
          <w:lang w:val="en-US" w:eastAsia="zh-CN"/>
        </w:rPr>
        <w:t>3、数据网关</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sz w:val="24"/>
          <w:szCs w:val="24"/>
          <w:lang w:val="en-US" w:eastAsia="zh-CN"/>
        </w:rPr>
        <w:t>3.</w:t>
      </w:r>
      <w:r>
        <w:rPr>
          <w:rFonts w:hint="default"/>
          <w:sz w:val="24"/>
          <w:szCs w:val="24"/>
        </w:rPr>
        <w:t>1</w:t>
      </w:r>
      <w:r>
        <w:rPr>
          <w:rFonts w:hint="eastAsia"/>
          <w:sz w:val="24"/>
          <w:szCs w:val="24"/>
          <w:lang w:val="en-US" w:eastAsia="zh-CN"/>
        </w:rPr>
        <w:t xml:space="preserve"> </w:t>
      </w:r>
      <w:r>
        <w:rPr>
          <w:rFonts w:hint="default"/>
          <w:sz w:val="24"/>
          <w:szCs w:val="24"/>
        </w:rPr>
        <w:t>具有低功耗嵌入式系统/微控制器结构，最大电源消耗不大于10VA；系统运行速度快，稳定可靠，平均无故障时间不少于10万小时。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eastAsia"/>
          <w:sz w:val="24"/>
          <w:szCs w:val="24"/>
          <w:lang w:val="en-US" w:eastAsia="zh-CN"/>
        </w:rPr>
        <w:t xml:space="preserve">3.2 </w:t>
      </w:r>
      <w:r>
        <w:rPr>
          <w:rFonts w:hint="default"/>
          <w:sz w:val="24"/>
          <w:szCs w:val="24"/>
        </w:rPr>
        <w:t>内置各种标准通信协议如DL/T 645-2007、CJ/T 188-2004、MODBUS等，可根据计量监测终端选型进行通讯配置；支持特殊要求的通信协议写入。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eastAsia"/>
          <w:sz w:val="24"/>
          <w:szCs w:val="24"/>
          <w:lang w:val="en-US" w:eastAsia="zh-CN"/>
        </w:rPr>
        <w:t xml:space="preserve">3.3 </w:t>
      </w:r>
      <w:r>
        <w:rPr>
          <w:rFonts w:hint="default"/>
          <w:sz w:val="24"/>
          <w:szCs w:val="24"/>
        </w:rPr>
        <w:t>上行支持多种通讯方式：RS-485、TCP/IP、GPRS、WIFI无线、LORA无线等。</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eastAsia"/>
          <w:sz w:val="24"/>
          <w:szCs w:val="24"/>
          <w:lang w:val="en-US" w:eastAsia="zh-CN"/>
        </w:rPr>
        <w:t xml:space="preserve">3.4 </w:t>
      </w:r>
      <w:r>
        <w:rPr>
          <w:rFonts w:hint="default"/>
          <w:sz w:val="24"/>
          <w:szCs w:val="24"/>
        </w:rPr>
        <w:t>采集各类表具（如电表、水表、气表、热表、环境传感器等）的实时示值、日冻结示值，进行数据采集、数学运算、分类/分项能耗值的计算功能；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eastAsia"/>
          <w:sz w:val="24"/>
          <w:szCs w:val="24"/>
          <w:lang w:val="en-US" w:eastAsia="zh-CN"/>
        </w:rPr>
        <w:t xml:space="preserve">3.5 </w:t>
      </w:r>
      <w:r>
        <w:rPr>
          <w:rFonts w:hint="default"/>
          <w:sz w:val="24"/>
          <w:szCs w:val="24"/>
        </w:rPr>
        <w:t>支持数据定时、分相分类存储，实时上报，停电数据自动保存。</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eastAsia"/>
          <w:sz w:val="24"/>
          <w:szCs w:val="24"/>
          <w:lang w:val="en-US" w:eastAsia="zh-CN"/>
        </w:rPr>
        <w:t xml:space="preserve">3.6 </w:t>
      </w:r>
      <w:r>
        <w:rPr>
          <w:rFonts w:hint="default"/>
          <w:sz w:val="24"/>
          <w:szCs w:val="24"/>
        </w:rPr>
        <w:t>具有断点续传功能，确保数据传输连贯、准确可靠，网络掉线不影响数据传输的准确性，保证后台软件图形的真实、平滑、连贯。</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eastAsia"/>
          <w:sz w:val="24"/>
          <w:szCs w:val="24"/>
          <w:lang w:val="en-US" w:eastAsia="zh-CN"/>
        </w:rPr>
        <w:t xml:space="preserve">3.7 </w:t>
      </w:r>
      <w:r>
        <w:rPr>
          <w:rFonts w:hint="default"/>
          <w:sz w:val="24"/>
          <w:szCs w:val="24"/>
        </w:rPr>
        <w:t>具有实时时钟和自动同步功能，网关内部设计硬件时钟，时钟误差小于0.5S/d，后台服务器可对网关进行远程校时，网关对计量表具进行广播校时。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eastAsia"/>
          <w:sz w:val="24"/>
          <w:szCs w:val="24"/>
          <w:lang w:val="en-US" w:eastAsia="zh-CN"/>
        </w:rPr>
        <w:t xml:space="preserve">3.8 </w:t>
      </w:r>
      <w:r>
        <w:rPr>
          <w:rFonts w:hint="default"/>
          <w:sz w:val="24"/>
          <w:szCs w:val="24"/>
        </w:rPr>
        <w:t>具有识别和传输计量装置运行状态的能力，自检发现设备（包括通讯）异常记录和报警功能；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eastAsia"/>
          <w:sz w:val="24"/>
          <w:szCs w:val="24"/>
          <w:lang w:val="en-US" w:eastAsia="zh-CN"/>
        </w:rPr>
        <w:t xml:space="preserve">3.9 </w:t>
      </w:r>
      <w:r>
        <w:rPr>
          <w:rFonts w:hint="default"/>
          <w:sz w:val="24"/>
          <w:szCs w:val="24"/>
        </w:rPr>
        <w:t>支持最大6个隔离的RS485总线接口，每条总线至多可连接32~128台计量装置，其通讯波特率为1200—115200bps（可选）。</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eastAsia"/>
          <w:sz w:val="24"/>
          <w:szCs w:val="24"/>
          <w:lang w:val="en-US" w:eastAsia="zh-CN"/>
        </w:rPr>
        <w:t xml:space="preserve">3.10 </w:t>
      </w:r>
      <w:r>
        <w:rPr>
          <w:rFonts w:hint="default"/>
          <w:sz w:val="24"/>
          <w:szCs w:val="24"/>
        </w:rPr>
        <w:t>所有对外接口都进行隔离防雷设计，安全可靠。</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p>
    <w:p>
      <w:pPr>
        <w:pStyle w:val="2"/>
        <w:bidi w:val="0"/>
        <w:rPr>
          <w:rFonts w:hint="default"/>
          <w:lang w:val="en-US" w:eastAsia="zh-CN"/>
        </w:rPr>
      </w:pPr>
      <w:r>
        <w:rPr>
          <w:rFonts w:hint="eastAsia"/>
          <w:lang w:val="en-US" w:eastAsia="zh-CN"/>
        </w:rPr>
        <w:t>四、系统功能</w:t>
      </w:r>
    </w:p>
    <w:p>
      <w:pPr>
        <w:pStyle w:val="3"/>
        <w:bidi w:val="0"/>
      </w:pPr>
      <w:r>
        <w:rPr>
          <w:rFonts w:hint="default"/>
        </w:rPr>
        <w:t>1、用户设置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1.1 操作员权限设置：不同身份的操作员配置不同的操作权限，不同操作人员只能操作不同的楼栋建筑、不同的系统功能。（水管员、电管员、水电联管员）。</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1.2特权操作员：可以给普通操作员进行进行权限分配，可以查看和修改所有操作人员的密码。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1.3 房间设置：所属楼层、楼栋等位置信息，所住人数及对应身份信息、额定费率等。</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1.</w:t>
      </w:r>
      <w:r>
        <w:rPr>
          <w:rFonts w:hint="eastAsia"/>
          <w:sz w:val="24"/>
          <w:szCs w:val="24"/>
          <w:lang w:val="en-US" w:eastAsia="zh-CN"/>
        </w:rPr>
        <w:t xml:space="preserve">4 </w:t>
      </w:r>
      <w:r>
        <w:rPr>
          <w:rFonts w:hint="default"/>
          <w:sz w:val="24"/>
          <w:szCs w:val="24"/>
        </w:rPr>
        <w:t>能够实现用于电管理、水管理、水电联合监管的多种功能功能。</w:t>
      </w:r>
    </w:p>
    <w:p>
      <w:pPr>
        <w:pStyle w:val="3"/>
        <w:bidi w:val="0"/>
        <w:rPr>
          <w:rFonts w:hint="default"/>
        </w:rPr>
      </w:pPr>
      <w:r>
        <w:rPr>
          <w:rFonts w:hint="default"/>
        </w:rPr>
        <w:t>2、设备管理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2.1 电表终端设置：</w:t>
      </w:r>
      <w:r>
        <w:rPr>
          <w:rFonts w:hint="eastAsia"/>
          <w:sz w:val="24"/>
          <w:szCs w:val="24"/>
          <w:lang w:val="en-US" w:eastAsia="zh-CN"/>
        </w:rPr>
        <w:t>水电表</w:t>
      </w:r>
      <w:r>
        <w:rPr>
          <w:rFonts w:hint="default"/>
          <w:sz w:val="24"/>
          <w:szCs w:val="24"/>
        </w:rPr>
        <w:t>表号和房间号设置对应关系，及所属用户信息</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2.2 数据网关设置：设置网关编号及所辖房间及电表信息，网关所住位置及命名等</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2.3 通讯设置：对网关的通讯地址等进行配置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2.4 换表处理：按规定流程进行故障表具处理和数据有序转换保存</w:t>
      </w:r>
    </w:p>
    <w:p>
      <w:pPr>
        <w:pStyle w:val="3"/>
        <w:bidi w:val="0"/>
        <w:rPr>
          <w:rFonts w:hint="default"/>
        </w:rPr>
      </w:pPr>
      <w:r>
        <w:rPr>
          <w:rFonts w:hint="default"/>
        </w:rPr>
        <w:t>3、计量收费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3.1 分路计量：实现单路或多路计量、分别控制，统一计费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3.2 预付电费无费关断：可选定时、自动抄表、结算、欠费断电提示、断电时间可设。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3.3 剩余电量低限提示：当电量低于设定数值时，手机微信推送、LED屏显提示催费信息。</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3.4 收费打印结算报表：可打印存款凭条及帐户存款、余额报表。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3.5 批量充值补助发放：可进行单个用户或批量用户快速充值，自助购电，及时补电，补助电量自动发放。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3.6 自助缴费手机支付：通过微信、支付宝等自主快速缴费，也可通过一卡通系统及支付中心平台实现数据交换，进行自助缴费购电。</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3.7 退费管理：学生转学、毕业时刻进行退费结算，形成报表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3.8 房间调换：更换房间自动进行数据转换。</w:t>
      </w:r>
    </w:p>
    <w:p>
      <w:pPr>
        <w:pStyle w:val="3"/>
        <w:bidi w:val="0"/>
        <w:rPr>
          <w:rFonts w:hint="default"/>
        </w:rPr>
      </w:pPr>
      <w:r>
        <w:rPr>
          <w:rFonts w:hint="default"/>
        </w:rPr>
        <w:t>4、参数管理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4.1 参数设置：系统可对计费单价、过载功率、定时控制、负载识别、分时限流等功能参数进行设置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4.2 参数下发：软件可进行各种管理参数下发并保存至网关和电表终端，在脱网运 行情况下，电表可自动执行软件设置的各种管理功能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4.3 参数更新：根据管理需要随时设置更新管理参数</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Theme="minorEastAsia"/>
          <w:sz w:val="24"/>
          <w:szCs w:val="24"/>
          <w:lang w:val="en-US" w:eastAsia="zh-CN"/>
        </w:rPr>
      </w:pPr>
      <w:r>
        <w:rPr>
          <w:rFonts w:hint="eastAsia"/>
          <w:sz w:val="24"/>
          <w:szCs w:val="24"/>
          <w:lang w:val="en-US" w:eastAsia="zh-CN"/>
        </w:rPr>
        <w:t>4.4 自动抄表：可根据要求设定自动水表抄表时间，不同用户可设定不同抄表时间。</w:t>
      </w:r>
    </w:p>
    <w:p>
      <w:pPr>
        <w:pStyle w:val="3"/>
        <w:bidi w:val="0"/>
        <w:rPr>
          <w:rFonts w:hint="default"/>
          <w:lang w:val="en-US" w:eastAsia="zh-CN"/>
        </w:rPr>
      </w:pPr>
      <w:r>
        <w:rPr>
          <w:rFonts w:hint="default"/>
        </w:rPr>
        <w:t>5、</w:t>
      </w:r>
      <w:r>
        <w:rPr>
          <w:rFonts w:hint="eastAsia"/>
          <w:lang w:val="en-US" w:eastAsia="zh-CN"/>
        </w:rPr>
        <w:t>安全管控</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5.1 欠费停电：预缴电费欠费停电</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5.2 低限提醒：设定低限提醒阀值，账户余额低于该阀值时系统自动推送信息告知用户尽快缴费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5.3 定时通电：根据时间作息时间设定自动通断断电，可进行多个时间段设置。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5.4 过载断电：根据需要设置和修改安全用电阀值，当负载超过设定的功率门限时自动拉闸断电，保证用电安全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5.5 分时限流：可设定不同时间段内允许使用不同的功率的负载，在夜间只允许小功率负载如充电器使用，进行人性化管理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5.6 负载识别：通过功率因数等参数识别负载性质，禁止恶性负载使用，可设定禁止不同功率、不同种类的恶性负载使用，保证用电安全。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5.7 防限电插座识别：通过AI模糊算法及波形识别等技术，有效识别防限电插座，确保用电安全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5.8 空调识别：模拟空调启动电流曲线和负载性质，允许空调正常使用的情况下，禁止其它设备用电，防止学生私拉乱接，保证用电安全。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5.9 温度检测：通过实时采集表具接线温度，当温度查过设定的安全温度时电表立即跳电，有效防止温度过高引起火灾等安全隐患。</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5.10 红外控制：通过手持红外遥控器实现电表的临时应急供电，完美解决统一管控和临时应急用电的使用需求。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5.11 跳电自动恢复：初次或无意使用违规电器，电表跳电后会自动恢复供电，连续超过三次跳电须报管理人员处理后再行人工供电。</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5.12 特殊用电：可</w:t>
      </w:r>
      <w:r>
        <w:rPr>
          <w:rFonts w:hint="eastAsia"/>
          <w:sz w:val="24"/>
          <w:szCs w:val="24"/>
          <w:lang w:val="en-US" w:eastAsia="zh-CN"/>
        </w:rPr>
        <w:t>设置</w:t>
      </w:r>
      <w:r>
        <w:rPr>
          <w:rFonts w:hint="default"/>
          <w:sz w:val="24"/>
          <w:szCs w:val="24"/>
        </w:rPr>
        <w:t>一定时间范围的欠费不停电功能，可实现后付费与预付费模式共存。</w:t>
      </w:r>
    </w:p>
    <w:p>
      <w:pPr>
        <w:pStyle w:val="3"/>
        <w:bidi w:val="0"/>
        <w:rPr>
          <w:rFonts w:hint="default"/>
        </w:rPr>
      </w:pPr>
      <w:r>
        <w:rPr>
          <w:rFonts w:hint="default"/>
        </w:rPr>
        <w:t>6、系统监测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6.1 设备监测：远程实时监测</w:t>
      </w:r>
      <w:r>
        <w:rPr>
          <w:rFonts w:hint="eastAsia"/>
          <w:sz w:val="24"/>
          <w:szCs w:val="24"/>
          <w:lang w:val="en-US" w:eastAsia="zh-CN"/>
        </w:rPr>
        <w:t>水表、</w:t>
      </w:r>
      <w:r>
        <w:rPr>
          <w:rFonts w:hint="default"/>
          <w:sz w:val="24"/>
          <w:szCs w:val="24"/>
        </w:rPr>
        <w:t>电表、网关的在线状态和故障情况。</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6.2 参数监测：实时监测电流、电压、开关状态、瞬时功率等数据，实现有效监管。</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6.3 故障报警：系统实时监测设备运行状态，关断控制失效、设备通讯故障等非正常状态系统实时在屏幕上显示并通过短信、微信等方式及时通知管理人员。</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6.4 门限报警：设置电量及参数阀值，动态监测用电信息，数据异常或超过门限阀值时自动报警，并根据设定的参数进行相应的控制管理。</w:t>
      </w:r>
    </w:p>
    <w:p>
      <w:pPr>
        <w:pStyle w:val="3"/>
        <w:bidi w:val="0"/>
        <w:rPr>
          <w:rFonts w:hint="default"/>
        </w:rPr>
      </w:pPr>
      <w:r>
        <w:rPr>
          <w:rFonts w:hint="default"/>
        </w:rPr>
        <w:t>7、数据管理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7.1 数据查询：可通过网络电脑、手机等查询系统数据信息。</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7.2 主动推送：可通过微信、APP、LED显示屏进行用电信息和账户信息推送。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7.3 账户查询：可查询账户余额、缴费信息、历史记录等</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7.4 学生转学、毕业时刻进行退费结算，形成报表；更换房间自动进行数据转换。</w:t>
      </w:r>
    </w:p>
    <w:p>
      <w:pPr>
        <w:pStyle w:val="3"/>
        <w:bidi w:val="0"/>
        <w:rPr>
          <w:rFonts w:hint="default"/>
        </w:rPr>
      </w:pPr>
      <w:r>
        <w:rPr>
          <w:rFonts w:hint="default"/>
        </w:rPr>
        <w:t>8、</w:t>
      </w:r>
      <w:r>
        <w:rPr>
          <w:rFonts w:hint="eastAsia"/>
          <w:lang w:val="en-US" w:eastAsia="zh-CN"/>
        </w:rPr>
        <w:t>安全运行</w:t>
      </w:r>
      <w:r>
        <w:rPr>
          <w:rFonts w:hint="default"/>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8.1 专业软件：系统软件均有自主知识产品，通过专业机构的安全检测，大量用户的实际使用验证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8.2 脱机运行：在服务器或网络故障导致通讯中断，电表终端可根据设定的参数自动运行。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8.2 加密认证：缴费充值等均进行严格的加密认证，确保数据安全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8.3 数据备份：数据异地备份，掉电、死机数据保护，保证十年以上不丢失。</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8.4 操作分级：操作员、管理员权限分级</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8.5 历史记录：操作过程步步记录，且禁止修改，保证错误追责。</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8.6 系统维护：用户系统有专人定期远程或现场维护，保证正常运行。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p>
    <w:p>
      <w:pPr>
        <w:pStyle w:val="2"/>
        <w:bidi w:val="0"/>
        <w:rPr>
          <w:rFonts w:hint="default"/>
          <w:lang w:val="en-US" w:eastAsia="zh-CN"/>
        </w:rPr>
      </w:pPr>
      <w:r>
        <w:rPr>
          <w:rFonts w:hint="eastAsia"/>
          <w:lang w:val="en-US" w:eastAsia="zh-CN"/>
        </w:rPr>
        <w:t>五、平台软件界面</w:t>
      </w:r>
    </w:p>
    <w:p>
      <w:pPr>
        <w:pStyle w:val="3"/>
        <w:bidi w:val="0"/>
        <w:rPr>
          <w:rFonts w:hint="eastAsia"/>
          <w:lang w:val="en-US" w:eastAsia="zh-CN"/>
        </w:rPr>
      </w:pPr>
      <w:r>
        <w:rPr>
          <w:rFonts w:hint="eastAsia"/>
          <w:lang w:val="en-US" w:eastAsia="zh-CN"/>
        </w:rPr>
        <w:t>1、系统总览页面</w:t>
      </w:r>
    </w:p>
    <w:p>
      <w:pPr>
        <w:numPr>
          <w:ilvl w:val="0"/>
          <w:numId w:val="0"/>
        </w:numPr>
        <w:bidi w:val="0"/>
        <w:ind w:leftChars="0"/>
        <w:rPr>
          <w:rFonts w:hint="default"/>
          <w:lang w:val="en-US" w:eastAsia="zh-CN"/>
        </w:rPr>
      </w:pPr>
      <w:r>
        <w:rPr>
          <w:rFonts w:hint="default"/>
          <w:lang w:val="en-US" w:eastAsia="zh-CN"/>
        </w:rPr>
        <w:drawing>
          <wp:inline distT="0" distB="0" distL="114300" distR="114300">
            <wp:extent cx="6107430" cy="3485515"/>
            <wp:effectExtent l="0" t="0" r="7620" b="635"/>
            <wp:docPr id="17" name="图片 17" descr="软件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软件界面"/>
                    <pic:cNvPicPr>
                      <a:picLocks noChangeAspect="1"/>
                    </pic:cNvPicPr>
                  </pic:nvPicPr>
                  <pic:blipFill>
                    <a:blip r:embed="rId18"/>
                    <a:stretch>
                      <a:fillRect/>
                    </a:stretch>
                  </pic:blipFill>
                  <pic:spPr>
                    <a:xfrm>
                      <a:off x="0" y="0"/>
                      <a:ext cx="6107430" cy="3485515"/>
                    </a:xfrm>
                    <a:prstGeom prst="rect">
                      <a:avLst/>
                    </a:prstGeom>
                  </pic:spPr>
                </pic:pic>
              </a:graphicData>
            </a:graphic>
          </wp:inline>
        </w:drawing>
      </w:r>
    </w:p>
    <w:p>
      <w:pPr>
        <w:pStyle w:val="3"/>
        <w:bidi w:val="0"/>
        <w:rPr>
          <w:rFonts w:hint="eastAsia"/>
          <w:lang w:val="en-US" w:eastAsia="zh-CN"/>
        </w:rPr>
      </w:pPr>
      <w:r>
        <w:rPr>
          <w:rFonts w:hint="eastAsia"/>
          <w:lang w:val="en-US" w:eastAsia="zh-CN"/>
        </w:rPr>
        <w:t>2、表具监测页面</w:t>
      </w:r>
    </w:p>
    <w:p>
      <w:pPr>
        <w:numPr>
          <w:ilvl w:val="0"/>
          <w:numId w:val="0"/>
        </w:numPr>
        <w:bidi w:val="0"/>
        <w:ind w:leftChars="0"/>
        <w:rPr>
          <w:rFonts w:hint="default"/>
          <w:lang w:val="en-US" w:eastAsia="zh-CN"/>
        </w:rPr>
      </w:pPr>
      <w:r>
        <w:rPr>
          <w:rFonts w:hint="default"/>
          <w:lang w:val="en-US" w:eastAsia="zh-CN"/>
        </w:rPr>
        <w:drawing>
          <wp:inline distT="0" distB="0" distL="114300" distR="114300">
            <wp:extent cx="6073775" cy="3568700"/>
            <wp:effectExtent l="0" t="0" r="3175" b="12700"/>
            <wp:docPr id="18" name="图片 18" descr="企业微信截图_1583218973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企业微信截图_15832189733170"/>
                    <pic:cNvPicPr>
                      <a:picLocks noChangeAspect="1"/>
                    </pic:cNvPicPr>
                  </pic:nvPicPr>
                  <pic:blipFill>
                    <a:blip r:embed="rId19"/>
                    <a:stretch>
                      <a:fillRect/>
                    </a:stretch>
                  </pic:blipFill>
                  <pic:spPr>
                    <a:xfrm>
                      <a:off x="0" y="0"/>
                      <a:ext cx="6073775" cy="3568700"/>
                    </a:xfrm>
                    <a:prstGeom prst="rect">
                      <a:avLst/>
                    </a:prstGeom>
                  </pic:spPr>
                </pic:pic>
              </a:graphicData>
            </a:graphic>
          </wp:inline>
        </w:drawing>
      </w:r>
    </w:p>
    <w:p>
      <w:pPr>
        <w:numPr>
          <w:ilvl w:val="0"/>
          <w:numId w:val="0"/>
        </w:numPr>
        <w:bidi w:val="0"/>
        <w:ind w:leftChars="0"/>
        <w:rPr>
          <w:rFonts w:hint="default"/>
          <w:lang w:val="en-US" w:eastAsia="zh-CN"/>
        </w:rPr>
      </w:pPr>
    </w:p>
    <w:p>
      <w:pPr>
        <w:pStyle w:val="3"/>
        <w:numPr>
          <w:ilvl w:val="0"/>
          <w:numId w:val="4"/>
        </w:numPr>
        <w:bidi w:val="0"/>
        <w:rPr>
          <w:rFonts w:hint="eastAsia"/>
          <w:lang w:val="en-US" w:eastAsia="zh-CN"/>
        </w:rPr>
      </w:pPr>
      <w:r>
        <w:rPr>
          <w:rFonts w:hint="eastAsia"/>
          <w:lang w:val="en-US" w:eastAsia="zh-CN"/>
        </w:rPr>
        <w:t>水表监测页面</w:t>
      </w:r>
    </w:p>
    <w:p>
      <w:pPr>
        <w:numPr>
          <w:ilvl w:val="0"/>
          <w:numId w:val="0"/>
        </w:numPr>
        <w:bidi w:val="0"/>
        <w:ind w:leftChars="0"/>
        <w:rPr>
          <w:rFonts w:hint="default"/>
          <w:lang w:val="en-US" w:eastAsia="zh-CN"/>
        </w:rPr>
      </w:pPr>
      <w:r>
        <w:rPr>
          <w:rFonts w:hint="default"/>
          <w:lang w:val="en-US" w:eastAsia="zh-CN"/>
        </w:rPr>
        <w:drawing>
          <wp:inline distT="0" distB="0" distL="114300" distR="114300">
            <wp:extent cx="6243320" cy="3582035"/>
            <wp:effectExtent l="0" t="0" r="5080" b="18415"/>
            <wp:docPr id="19" name="图片 19" descr="企业微信截图_1583218991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企业微信截图_15832189912641"/>
                    <pic:cNvPicPr>
                      <a:picLocks noChangeAspect="1"/>
                    </pic:cNvPicPr>
                  </pic:nvPicPr>
                  <pic:blipFill>
                    <a:blip r:embed="rId20"/>
                    <a:stretch>
                      <a:fillRect/>
                    </a:stretch>
                  </pic:blipFill>
                  <pic:spPr>
                    <a:xfrm>
                      <a:off x="0" y="0"/>
                      <a:ext cx="6243320" cy="3582035"/>
                    </a:xfrm>
                    <a:prstGeom prst="rect">
                      <a:avLst/>
                    </a:prstGeom>
                  </pic:spPr>
                </pic:pic>
              </a:graphicData>
            </a:graphic>
          </wp:inline>
        </w:drawing>
      </w:r>
    </w:p>
    <w:p>
      <w:pPr>
        <w:numPr>
          <w:ilvl w:val="0"/>
          <w:numId w:val="0"/>
        </w:numPr>
        <w:bidi w:val="0"/>
        <w:ind w:leftChars="0"/>
        <w:rPr>
          <w:rFonts w:hint="default"/>
          <w:lang w:val="en-US" w:eastAsia="zh-CN"/>
        </w:rPr>
      </w:pPr>
    </w:p>
    <w:p>
      <w:pPr>
        <w:pStyle w:val="3"/>
        <w:numPr>
          <w:ilvl w:val="0"/>
          <w:numId w:val="4"/>
        </w:numPr>
        <w:bidi w:val="0"/>
        <w:rPr>
          <w:rFonts w:hint="eastAsia"/>
          <w:lang w:val="en-US" w:eastAsia="zh-CN"/>
        </w:rPr>
      </w:pPr>
      <w:r>
        <w:rPr>
          <w:rFonts w:hint="eastAsia"/>
          <w:lang w:val="en-US" w:eastAsia="zh-CN"/>
        </w:rPr>
        <w:t>充值缴费页面</w:t>
      </w:r>
    </w:p>
    <w:p>
      <w:pPr>
        <w:numPr>
          <w:ilvl w:val="0"/>
          <w:numId w:val="0"/>
        </w:numPr>
        <w:bidi w:val="0"/>
        <w:ind w:leftChars="0"/>
        <w:rPr>
          <w:rFonts w:hint="default"/>
          <w:lang w:val="en-US" w:eastAsia="zh-CN"/>
        </w:rPr>
      </w:pPr>
      <w:r>
        <w:rPr>
          <w:rFonts w:hint="default"/>
          <w:lang w:val="en-US" w:eastAsia="zh-CN"/>
        </w:rPr>
        <w:drawing>
          <wp:inline distT="0" distB="0" distL="114300" distR="114300">
            <wp:extent cx="6182360" cy="3369310"/>
            <wp:effectExtent l="0" t="0" r="8890" b="2540"/>
            <wp:docPr id="20" name="图片 20" descr="企业微信截图_1583218383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企业微信截图_15832183833291"/>
                    <pic:cNvPicPr>
                      <a:picLocks noChangeAspect="1"/>
                    </pic:cNvPicPr>
                  </pic:nvPicPr>
                  <pic:blipFill>
                    <a:blip r:embed="rId21"/>
                    <a:stretch>
                      <a:fillRect/>
                    </a:stretch>
                  </pic:blipFill>
                  <pic:spPr>
                    <a:xfrm>
                      <a:off x="0" y="0"/>
                      <a:ext cx="6182360" cy="3369310"/>
                    </a:xfrm>
                    <a:prstGeom prst="rect">
                      <a:avLst/>
                    </a:prstGeom>
                  </pic:spPr>
                </pic:pic>
              </a:graphicData>
            </a:graphic>
          </wp:inline>
        </w:drawing>
      </w:r>
    </w:p>
    <w:p>
      <w:pPr>
        <w:pStyle w:val="3"/>
        <w:numPr>
          <w:ilvl w:val="0"/>
          <w:numId w:val="4"/>
        </w:numPr>
        <w:bidi w:val="0"/>
        <w:rPr>
          <w:rFonts w:hint="eastAsia"/>
          <w:lang w:val="en-US" w:eastAsia="zh-CN"/>
        </w:rPr>
      </w:pPr>
      <w:r>
        <w:rPr>
          <w:rFonts w:hint="eastAsia"/>
          <w:lang w:val="en-US" w:eastAsia="zh-CN"/>
        </w:rPr>
        <w:t>微信缴费平台页面</w:t>
      </w:r>
    </w:p>
    <w:p>
      <w:pPr>
        <w:numPr>
          <w:ilvl w:val="0"/>
          <w:numId w:val="0"/>
        </w:numPr>
        <w:bidi w:val="0"/>
        <w:ind w:leftChars="0"/>
        <w:rPr>
          <w:rFonts w:hint="default"/>
          <w:lang w:val="en-US" w:eastAsia="zh-CN"/>
        </w:rPr>
      </w:pPr>
      <w:r>
        <w:rPr>
          <w:rFonts w:hint="default"/>
          <w:lang w:val="en-US" w:eastAsia="zh-CN"/>
        </w:rPr>
        <w:drawing>
          <wp:inline distT="0" distB="0" distL="114300" distR="114300">
            <wp:extent cx="2466975" cy="4055110"/>
            <wp:effectExtent l="0" t="0" r="9525" b="2540"/>
            <wp:docPr id="21" name="图片 21" descr="01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1首页"/>
                    <pic:cNvPicPr>
                      <a:picLocks noChangeAspect="1"/>
                    </pic:cNvPicPr>
                  </pic:nvPicPr>
                  <pic:blipFill>
                    <a:blip r:embed="rId22"/>
                    <a:stretch>
                      <a:fillRect/>
                    </a:stretch>
                  </pic:blipFill>
                  <pic:spPr>
                    <a:xfrm>
                      <a:off x="0" y="0"/>
                      <a:ext cx="2466975" cy="4055110"/>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533650" cy="4025265"/>
            <wp:effectExtent l="0" t="0" r="0" b="13335"/>
            <wp:docPr id="22" name="图片 22" descr="08消息推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08消息推送"/>
                    <pic:cNvPicPr>
                      <a:picLocks noChangeAspect="1"/>
                    </pic:cNvPicPr>
                  </pic:nvPicPr>
                  <pic:blipFill>
                    <a:blip r:embed="rId23"/>
                    <a:stretch>
                      <a:fillRect/>
                    </a:stretch>
                  </pic:blipFill>
                  <pic:spPr>
                    <a:xfrm>
                      <a:off x="0" y="0"/>
                      <a:ext cx="2533650" cy="4025265"/>
                    </a:xfrm>
                    <a:prstGeom prst="rect">
                      <a:avLst/>
                    </a:prstGeom>
                  </pic:spPr>
                </pic:pic>
              </a:graphicData>
            </a:graphic>
          </wp:inline>
        </w:drawing>
      </w:r>
    </w:p>
    <w:p>
      <w:pPr>
        <w:numPr>
          <w:ilvl w:val="0"/>
          <w:numId w:val="0"/>
        </w:numPr>
        <w:bidi w:val="0"/>
        <w:ind w:leftChars="0"/>
        <w:rPr>
          <w:rFonts w:hint="eastAsia"/>
          <w:sz w:val="24"/>
          <w:szCs w:val="24"/>
          <w:lang w:eastAsia="zh-CN"/>
        </w:rPr>
      </w:pPr>
      <w:r>
        <w:rPr>
          <w:rFonts w:hint="default"/>
          <w:lang w:val="en-US" w:eastAsia="zh-CN"/>
        </w:rPr>
        <w:drawing>
          <wp:inline distT="0" distB="0" distL="114300" distR="114300">
            <wp:extent cx="2372995" cy="4002405"/>
            <wp:effectExtent l="0" t="0" r="8255" b="17145"/>
            <wp:docPr id="23" name="图片 23" descr="07个人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7个人中心"/>
                    <pic:cNvPicPr>
                      <a:picLocks noChangeAspect="1"/>
                    </pic:cNvPicPr>
                  </pic:nvPicPr>
                  <pic:blipFill>
                    <a:blip r:embed="rId24"/>
                    <a:stretch>
                      <a:fillRect/>
                    </a:stretch>
                  </pic:blipFill>
                  <pic:spPr>
                    <a:xfrm>
                      <a:off x="0" y="0"/>
                      <a:ext cx="2372995" cy="4002405"/>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426335" cy="3987800"/>
            <wp:effectExtent l="0" t="0" r="12065" b="12700"/>
            <wp:docPr id="28" name="图片 28" descr="02支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02支付"/>
                    <pic:cNvPicPr>
                      <a:picLocks noChangeAspect="1"/>
                    </pic:cNvPicPr>
                  </pic:nvPicPr>
                  <pic:blipFill>
                    <a:blip r:embed="rId25"/>
                    <a:stretch>
                      <a:fillRect/>
                    </a:stretch>
                  </pic:blipFill>
                  <pic:spPr>
                    <a:xfrm>
                      <a:off x="0" y="0"/>
                      <a:ext cx="2426335" cy="3987800"/>
                    </a:xfrm>
                    <a:prstGeom prst="rect">
                      <a:avLst/>
                    </a:prstGeom>
                  </pic:spPr>
                </pic:pic>
              </a:graphicData>
            </a:graphic>
          </wp:inline>
        </w:drawing>
      </w:r>
    </w:p>
    <w:p>
      <w:pPr>
        <w:pStyle w:val="3"/>
        <w:numPr>
          <w:ilvl w:val="0"/>
          <w:numId w:val="0"/>
        </w:numPr>
        <w:bidi w:val="0"/>
        <w:ind w:leftChars="0"/>
        <w:rPr>
          <w:rFonts w:hint="eastAsia"/>
          <w:lang w:val="en-US" w:eastAsia="zh-CN"/>
        </w:rPr>
      </w:pPr>
      <w:r>
        <w:rPr>
          <w:rFonts w:hint="eastAsia"/>
          <w:lang w:val="en-US" w:eastAsia="zh-CN"/>
        </w:rPr>
        <w:t>8、配置报价</w:t>
      </w:r>
    </w:p>
    <w:tbl>
      <w:tblPr>
        <w:tblStyle w:val="8"/>
        <w:tblW w:w="100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665"/>
        <w:gridCol w:w="2010"/>
        <w:gridCol w:w="675"/>
        <w:gridCol w:w="855"/>
        <w:gridCol w:w="1020"/>
        <w:gridCol w:w="1125"/>
        <w:gridCol w:w="1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pPr>
              <w:keepNext w:val="0"/>
              <w:keepLines w:val="0"/>
              <w:pageBreakBefore w:val="0"/>
              <w:widowControl/>
              <w:kinsoku/>
              <w:overflowPunct/>
              <w:topLinePunct w:val="0"/>
              <w:autoSpaceDE/>
              <w:autoSpaceDN/>
              <w:bidi w:val="0"/>
              <w:adjustRightInd/>
              <w:snapToGrid/>
              <w:spacing w:before="120" w:after="120" w:line="260" w:lineRule="exact"/>
              <w:jc w:val="center"/>
              <w:textAlignment w:val="auto"/>
              <w:outlineLvl w:val="9"/>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序号</w:t>
            </w:r>
          </w:p>
        </w:tc>
        <w:tc>
          <w:tcPr>
            <w:tcW w:w="1665" w:type="dxa"/>
            <w:noWrap w:val="0"/>
            <w:vAlign w:val="center"/>
          </w:tcPr>
          <w:p>
            <w:pPr>
              <w:keepNext w:val="0"/>
              <w:keepLines w:val="0"/>
              <w:pageBreakBefore w:val="0"/>
              <w:widowControl/>
              <w:kinsoku/>
              <w:overflowPunct/>
              <w:topLinePunct w:val="0"/>
              <w:autoSpaceDE/>
              <w:autoSpaceDN/>
              <w:bidi w:val="0"/>
              <w:adjustRightInd/>
              <w:snapToGrid/>
              <w:spacing w:before="120" w:after="120" w:line="260" w:lineRule="exact"/>
              <w:jc w:val="center"/>
              <w:textAlignment w:val="auto"/>
              <w:outlineLvl w:val="9"/>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设备名称</w:t>
            </w:r>
          </w:p>
        </w:tc>
        <w:tc>
          <w:tcPr>
            <w:tcW w:w="2010" w:type="dxa"/>
            <w:noWrap w:val="0"/>
            <w:vAlign w:val="center"/>
          </w:tcPr>
          <w:p>
            <w:pPr>
              <w:keepNext w:val="0"/>
              <w:keepLines w:val="0"/>
              <w:pageBreakBefore w:val="0"/>
              <w:widowControl/>
              <w:kinsoku/>
              <w:overflowPunct/>
              <w:topLinePunct w:val="0"/>
              <w:autoSpaceDE/>
              <w:autoSpaceDN/>
              <w:bidi w:val="0"/>
              <w:adjustRightInd/>
              <w:snapToGrid/>
              <w:spacing w:before="120" w:after="120" w:line="260" w:lineRule="exact"/>
              <w:jc w:val="center"/>
              <w:textAlignment w:val="auto"/>
              <w:outlineLvl w:val="9"/>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规格型号</w:t>
            </w:r>
          </w:p>
        </w:tc>
        <w:tc>
          <w:tcPr>
            <w:tcW w:w="675" w:type="dxa"/>
            <w:noWrap w:val="0"/>
            <w:vAlign w:val="center"/>
          </w:tcPr>
          <w:p>
            <w:pPr>
              <w:keepNext w:val="0"/>
              <w:keepLines w:val="0"/>
              <w:pageBreakBefore w:val="0"/>
              <w:widowControl/>
              <w:kinsoku/>
              <w:overflowPunct/>
              <w:topLinePunct w:val="0"/>
              <w:autoSpaceDE/>
              <w:autoSpaceDN/>
              <w:bidi w:val="0"/>
              <w:adjustRightInd/>
              <w:snapToGrid/>
              <w:spacing w:before="120" w:after="120" w:line="260" w:lineRule="exact"/>
              <w:jc w:val="center"/>
              <w:textAlignment w:val="auto"/>
              <w:outlineLvl w:val="9"/>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单位</w:t>
            </w:r>
          </w:p>
        </w:tc>
        <w:tc>
          <w:tcPr>
            <w:tcW w:w="855" w:type="dxa"/>
            <w:noWrap w:val="0"/>
            <w:vAlign w:val="center"/>
          </w:tcPr>
          <w:p>
            <w:pPr>
              <w:keepNext w:val="0"/>
              <w:keepLines w:val="0"/>
              <w:pageBreakBefore w:val="0"/>
              <w:widowControl/>
              <w:kinsoku/>
              <w:overflowPunct/>
              <w:topLinePunct w:val="0"/>
              <w:autoSpaceDE/>
              <w:autoSpaceDN/>
              <w:bidi w:val="0"/>
              <w:adjustRightInd/>
              <w:snapToGrid/>
              <w:spacing w:before="120" w:after="120" w:line="260" w:lineRule="exact"/>
              <w:jc w:val="center"/>
              <w:textAlignment w:val="auto"/>
              <w:outlineLvl w:val="9"/>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数量</w:t>
            </w:r>
          </w:p>
        </w:tc>
        <w:tc>
          <w:tcPr>
            <w:tcW w:w="1020" w:type="dxa"/>
            <w:noWrap w:val="0"/>
            <w:vAlign w:val="center"/>
          </w:tcPr>
          <w:p>
            <w:pPr>
              <w:keepNext w:val="0"/>
              <w:keepLines w:val="0"/>
              <w:pageBreakBefore w:val="0"/>
              <w:widowControl/>
              <w:kinsoku/>
              <w:overflowPunct/>
              <w:topLinePunct w:val="0"/>
              <w:autoSpaceDE/>
              <w:autoSpaceDN/>
              <w:bidi w:val="0"/>
              <w:adjustRightInd/>
              <w:snapToGrid/>
              <w:spacing w:before="120" w:after="120" w:line="260" w:lineRule="exact"/>
              <w:jc w:val="center"/>
              <w:textAlignment w:val="auto"/>
              <w:outlineLvl w:val="9"/>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单价</w:t>
            </w:r>
          </w:p>
        </w:tc>
        <w:tc>
          <w:tcPr>
            <w:tcW w:w="1125" w:type="dxa"/>
            <w:noWrap w:val="0"/>
            <w:vAlign w:val="center"/>
          </w:tcPr>
          <w:p>
            <w:pPr>
              <w:keepNext w:val="0"/>
              <w:keepLines w:val="0"/>
              <w:pageBreakBefore w:val="0"/>
              <w:widowControl/>
              <w:kinsoku/>
              <w:overflowPunct/>
              <w:topLinePunct w:val="0"/>
              <w:autoSpaceDE/>
              <w:autoSpaceDN/>
              <w:bidi w:val="0"/>
              <w:adjustRightInd/>
              <w:snapToGrid/>
              <w:spacing w:before="120" w:after="120" w:line="260" w:lineRule="exact"/>
              <w:ind w:left="-604" w:firstLine="606"/>
              <w:jc w:val="center"/>
              <w:textAlignment w:val="auto"/>
              <w:outlineLvl w:val="9"/>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金  额</w:t>
            </w:r>
          </w:p>
        </w:tc>
        <w:tc>
          <w:tcPr>
            <w:tcW w:w="1920" w:type="dxa"/>
            <w:noWrap w:val="0"/>
            <w:vAlign w:val="center"/>
          </w:tcPr>
          <w:p>
            <w:pPr>
              <w:keepNext w:val="0"/>
              <w:keepLines w:val="0"/>
              <w:pageBreakBefore w:val="0"/>
              <w:widowControl/>
              <w:kinsoku/>
              <w:overflowPunct/>
              <w:topLinePunct w:val="0"/>
              <w:autoSpaceDE/>
              <w:autoSpaceDN/>
              <w:bidi w:val="0"/>
              <w:adjustRightInd/>
              <w:snapToGrid/>
              <w:spacing w:before="120" w:after="120" w:line="260" w:lineRule="exact"/>
              <w:jc w:val="center"/>
              <w:textAlignment w:val="auto"/>
              <w:outlineLvl w:val="9"/>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6" w:type="dxa"/>
            <w:gridSpan w:val="8"/>
            <w:noWrap w:val="0"/>
            <w:vAlign w:val="center"/>
          </w:tcPr>
          <w:p>
            <w:pPr>
              <w:keepNext w:val="0"/>
              <w:keepLines w:val="0"/>
              <w:pageBreakBefore w:val="0"/>
              <w:widowControl/>
              <w:kinsoku/>
              <w:overflowPunct/>
              <w:topLinePunct w:val="0"/>
              <w:autoSpaceDE/>
              <w:autoSpaceDN/>
              <w:bidi w:val="0"/>
              <w:adjustRightInd/>
              <w:snapToGrid/>
              <w:spacing w:before="120" w:after="120" w:line="260" w:lineRule="exac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一、设备报价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1</w:t>
            </w:r>
          </w:p>
        </w:tc>
        <w:tc>
          <w:tcPr>
            <w:tcW w:w="166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单相远程费控</w:t>
            </w:r>
          </w:p>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left"/>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智能电表</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DDS</w:t>
            </w:r>
            <w:r>
              <w:rPr>
                <w:rFonts w:hint="eastAsia" w:ascii="微软雅黑" w:hAnsi="微软雅黑" w:eastAsia="微软雅黑" w:cs="微软雅黑"/>
                <w:sz w:val="21"/>
                <w:szCs w:val="21"/>
                <w:lang w:val="en-US" w:eastAsia="zh-CN"/>
              </w:rPr>
              <w:t>Y315 10(60)A</w:t>
            </w:r>
          </w:p>
        </w:tc>
        <w:tc>
          <w:tcPr>
            <w:tcW w:w="67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只</w:t>
            </w:r>
          </w:p>
        </w:tc>
        <w:tc>
          <w:tcPr>
            <w:tcW w:w="85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450</w:t>
            </w:r>
          </w:p>
        </w:tc>
        <w:tc>
          <w:tcPr>
            <w:tcW w:w="1020"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210</w:t>
            </w:r>
          </w:p>
        </w:tc>
        <w:tc>
          <w:tcPr>
            <w:tcW w:w="112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94500 </w:t>
            </w:r>
          </w:p>
        </w:tc>
        <w:tc>
          <w:tcPr>
            <w:tcW w:w="1920"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both"/>
              <w:textAlignment w:val="auto"/>
              <w:outlineLvl w:val="9"/>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宿舍，每个单元集中在一楼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w:t>
            </w:r>
          </w:p>
        </w:tc>
        <w:tc>
          <w:tcPr>
            <w:tcW w:w="166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left"/>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三相远程费控</w:t>
            </w:r>
          </w:p>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智能电表</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DTZY315  5(60)A</w:t>
            </w:r>
          </w:p>
        </w:tc>
        <w:tc>
          <w:tcPr>
            <w:tcW w:w="67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只</w:t>
            </w:r>
          </w:p>
        </w:tc>
        <w:tc>
          <w:tcPr>
            <w:tcW w:w="85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137</w:t>
            </w:r>
          </w:p>
        </w:tc>
        <w:tc>
          <w:tcPr>
            <w:tcW w:w="1020"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680</w:t>
            </w:r>
          </w:p>
        </w:tc>
        <w:tc>
          <w:tcPr>
            <w:tcW w:w="112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93160</w:t>
            </w:r>
          </w:p>
        </w:tc>
        <w:tc>
          <w:tcPr>
            <w:tcW w:w="1920"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both"/>
              <w:textAlignment w:val="auto"/>
              <w:outlineLvl w:val="9"/>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复费率，金属门面房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3</w:t>
            </w:r>
          </w:p>
        </w:tc>
        <w:tc>
          <w:tcPr>
            <w:tcW w:w="166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三相远程费控</w:t>
            </w:r>
          </w:p>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智能电表</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DTZY315  (1.5)6A</w:t>
            </w:r>
          </w:p>
        </w:tc>
        <w:tc>
          <w:tcPr>
            <w:tcW w:w="67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只</w:t>
            </w:r>
          </w:p>
        </w:tc>
        <w:tc>
          <w:tcPr>
            <w:tcW w:w="85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51</w:t>
            </w:r>
          </w:p>
        </w:tc>
        <w:tc>
          <w:tcPr>
            <w:tcW w:w="1020"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680</w:t>
            </w:r>
          </w:p>
        </w:tc>
        <w:tc>
          <w:tcPr>
            <w:tcW w:w="112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34680</w:t>
            </w:r>
          </w:p>
        </w:tc>
        <w:tc>
          <w:tcPr>
            <w:tcW w:w="1920"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both"/>
              <w:textAlignment w:val="auto"/>
              <w:outlineLvl w:val="9"/>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复费率，企业用表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36"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w:t>
            </w:r>
          </w:p>
        </w:tc>
        <w:tc>
          <w:tcPr>
            <w:tcW w:w="166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left"/>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塑壳断路器</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NM1-225S/150A</w:t>
            </w:r>
          </w:p>
        </w:tc>
        <w:tc>
          <w:tcPr>
            <w:tcW w:w="67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只</w:t>
            </w:r>
          </w:p>
        </w:tc>
        <w:tc>
          <w:tcPr>
            <w:tcW w:w="85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51</w:t>
            </w:r>
          </w:p>
        </w:tc>
        <w:tc>
          <w:tcPr>
            <w:tcW w:w="1020"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380</w:t>
            </w:r>
          </w:p>
        </w:tc>
        <w:tc>
          <w:tcPr>
            <w:tcW w:w="112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19380</w:t>
            </w:r>
          </w:p>
        </w:tc>
        <w:tc>
          <w:tcPr>
            <w:tcW w:w="1920" w:type="dxa"/>
            <w:noWrap w:val="0"/>
            <w:vAlign w:val="top"/>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textAlignment w:val="auto"/>
              <w:outlineLvl w:val="9"/>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带分励脱扣器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36"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w:t>
            </w:r>
          </w:p>
        </w:tc>
        <w:tc>
          <w:tcPr>
            <w:tcW w:w="166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数据网关</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WG315-4G</w:t>
            </w:r>
          </w:p>
        </w:tc>
        <w:tc>
          <w:tcPr>
            <w:tcW w:w="67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套</w:t>
            </w:r>
          </w:p>
        </w:tc>
        <w:tc>
          <w:tcPr>
            <w:tcW w:w="85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61</w:t>
            </w:r>
          </w:p>
        </w:tc>
        <w:tc>
          <w:tcPr>
            <w:tcW w:w="1020"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2500</w:t>
            </w:r>
          </w:p>
        </w:tc>
        <w:tc>
          <w:tcPr>
            <w:tcW w:w="112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152500</w:t>
            </w:r>
          </w:p>
        </w:tc>
        <w:tc>
          <w:tcPr>
            <w:tcW w:w="1920"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both"/>
              <w:textAlignment w:val="auto"/>
              <w:outlineLvl w:val="9"/>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无线通讯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w:t>
            </w:r>
          </w:p>
        </w:tc>
        <w:tc>
          <w:tcPr>
            <w:tcW w:w="166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远传水表</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LXSY315-DN20</w:t>
            </w:r>
          </w:p>
        </w:tc>
        <w:tc>
          <w:tcPr>
            <w:tcW w:w="67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只</w:t>
            </w:r>
          </w:p>
        </w:tc>
        <w:tc>
          <w:tcPr>
            <w:tcW w:w="85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285</w:t>
            </w:r>
          </w:p>
        </w:tc>
        <w:tc>
          <w:tcPr>
            <w:tcW w:w="1020"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250</w:t>
            </w:r>
          </w:p>
        </w:tc>
        <w:tc>
          <w:tcPr>
            <w:tcW w:w="112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71250</w:t>
            </w:r>
          </w:p>
        </w:tc>
        <w:tc>
          <w:tcPr>
            <w:tcW w:w="1920" w:type="dxa"/>
            <w:noWrap w:val="0"/>
            <w:vAlign w:val="top"/>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textAlignment w:val="auto"/>
              <w:outlineLvl w:val="9"/>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宿舍集中在一楼水表井，需清理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pPr>
              <w:keepNext w:val="0"/>
              <w:keepLines w:val="0"/>
              <w:pageBreakBefore w:val="0"/>
              <w:widowControl/>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w:t>
            </w:r>
          </w:p>
        </w:tc>
        <w:tc>
          <w:tcPr>
            <w:tcW w:w="1665" w:type="dxa"/>
            <w:noWrap w:val="0"/>
            <w:vAlign w:val="center"/>
          </w:tcPr>
          <w:p>
            <w:pPr>
              <w:keepNext w:val="0"/>
              <w:keepLines w:val="0"/>
              <w:pageBreakBefore w:val="0"/>
              <w:widowControl/>
              <w:kinsoku/>
              <w:wordWrap/>
              <w:overflowPunct/>
              <w:topLinePunct w:val="0"/>
              <w:autoSpaceDE/>
              <w:autoSpaceDN/>
              <w:bidi w:val="0"/>
              <w:adjustRightInd/>
              <w:snapToGrid/>
              <w:spacing w:before="0" w:after="0" w:line="360" w:lineRule="exact"/>
              <w:ind w:left="0" w:leftChars="0" w:right="0" w:rightChars="0" w:firstLine="0" w:firstLineChars="0"/>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NB物联网水表</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before="0" w:after="0" w:line="360" w:lineRule="exact"/>
              <w:ind w:left="0" w:leftChars="0" w:right="0" w:rightChars="0" w:firstLine="0" w:firstLineChars="0"/>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LXSY315-DN15</w:t>
            </w:r>
          </w:p>
        </w:tc>
        <w:tc>
          <w:tcPr>
            <w:tcW w:w="675" w:type="dxa"/>
            <w:noWrap w:val="0"/>
            <w:vAlign w:val="center"/>
          </w:tcPr>
          <w:p>
            <w:pPr>
              <w:keepNext w:val="0"/>
              <w:keepLines w:val="0"/>
              <w:pageBreakBefore w:val="0"/>
              <w:widowControl/>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只</w:t>
            </w:r>
          </w:p>
        </w:tc>
        <w:tc>
          <w:tcPr>
            <w:tcW w:w="855" w:type="dxa"/>
            <w:noWrap w:val="0"/>
            <w:vAlign w:val="center"/>
          </w:tcPr>
          <w:p>
            <w:pPr>
              <w:keepNext w:val="0"/>
              <w:keepLines w:val="0"/>
              <w:pageBreakBefore w:val="0"/>
              <w:widowControl/>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192</w:t>
            </w:r>
          </w:p>
        </w:tc>
        <w:tc>
          <w:tcPr>
            <w:tcW w:w="1020" w:type="dxa"/>
            <w:noWrap w:val="0"/>
            <w:vAlign w:val="center"/>
          </w:tcPr>
          <w:p>
            <w:pPr>
              <w:keepNext w:val="0"/>
              <w:keepLines w:val="0"/>
              <w:pageBreakBefore w:val="0"/>
              <w:widowControl/>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450</w:t>
            </w:r>
          </w:p>
        </w:tc>
        <w:tc>
          <w:tcPr>
            <w:tcW w:w="1125" w:type="dxa"/>
            <w:noWrap w:val="0"/>
            <w:vAlign w:val="center"/>
          </w:tcPr>
          <w:p>
            <w:pPr>
              <w:keepNext w:val="0"/>
              <w:keepLines w:val="0"/>
              <w:pageBreakBefore w:val="0"/>
              <w:widowControl/>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86400</w:t>
            </w:r>
          </w:p>
        </w:tc>
        <w:tc>
          <w:tcPr>
            <w:tcW w:w="1920" w:type="dxa"/>
            <w:noWrap w:val="0"/>
            <w:vAlign w:val="top"/>
          </w:tcPr>
          <w:p>
            <w:pPr>
              <w:keepNext w:val="0"/>
              <w:keepLines w:val="0"/>
              <w:pageBreakBefore w:val="0"/>
              <w:widowControl/>
              <w:kinsoku/>
              <w:wordWrap/>
              <w:overflowPunct/>
              <w:topLinePunct w:val="0"/>
              <w:autoSpaceDE/>
              <w:autoSpaceDN/>
              <w:bidi w:val="0"/>
              <w:adjustRightInd/>
              <w:snapToGrid/>
              <w:spacing w:before="0" w:after="0" w:line="360" w:lineRule="exact"/>
              <w:ind w:left="0" w:leftChars="0" w:right="0" w:rightChars="0" w:firstLine="0" w:firstLineChars="0"/>
              <w:textAlignment w:val="auto"/>
              <w:outlineLvl w:val="9"/>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宿舍房间内卫生间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736" w:type="dxa"/>
            <w:noWrap w:val="0"/>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w:t>
            </w:r>
          </w:p>
        </w:tc>
        <w:tc>
          <w:tcPr>
            <w:tcW w:w="166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0" w:leftChars="0" w:right="0" w:rightChars="0" w:firstLine="0" w:firstLineChars="0"/>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NB物联网水表</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0" w:leftChars="0" w:right="0" w:rightChars="0" w:firstLine="0" w:firstLineChars="0"/>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LXSY315-DN20</w:t>
            </w:r>
          </w:p>
        </w:tc>
        <w:tc>
          <w:tcPr>
            <w:tcW w:w="67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0" w:leftChars="0" w:right="0" w:rightChars="0" w:firstLine="0" w:firstLineChars="0"/>
              <w:jc w:val="center"/>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只</w:t>
            </w:r>
          </w:p>
        </w:tc>
        <w:tc>
          <w:tcPr>
            <w:tcW w:w="85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137</w:t>
            </w:r>
          </w:p>
        </w:tc>
        <w:tc>
          <w:tcPr>
            <w:tcW w:w="1020" w:type="dxa"/>
            <w:noWrap w:val="0"/>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480</w:t>
            </w:r>
          </w:p>
        </w:tc>
        <w:tc>
          <w:tcPr>
            <w:tcW w:w="112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65760</w:t>
            </w:r>
          </w:p>
        </w:tc>
        <w:tc>
          <w:tcPr>
            <w:tcW w:w="1920" w:type="dxa"/>
            <w:noWrap w:val="0"/>
            <w:vAlign w:val="top"/>
          </w:tcPr>
          <w:p>
            <w:pPr>
              <w:keepNext w:val="0"/>
              <w:keepLines w:val="0"/>
              <w:pageBreakBefore w:val="0"/>
              <w:widowControl/>
              <w:kinsoku/>
              <w:wordWrap/>
              <w:overflowPunct/>
              <w:topLinePunct w:val="0"/>
              <w:autoSpaceDE/>
              <w:autoSpaceDN/>
              <w:bidi w:val="0"/>
              <w:adjustRightInd/>
              <w:snapToGrid/>
              <w:spacing w:before="0" w:after="0" w:line="280" w:lineRule="exact"/>
              <w:ind w:left="0" w:leftChars="0" w:right="0" w:rightChars="0" w:firstLine="0" w:firstLineChars="0"/>
              <w:textAlignment w:val="auto"/>
              <w:outlineLvl w:val="9"/>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金属城门面房外面，水泥盖板井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pPr>
              <w:keepNext w:val="0"/>
              <w:keepLines w:val="0"/>
              <w:pageBreakBefore w:val="0"/>
              <w:widowControl/>
              <w:kinsoku/>
              <w:overflowPunct/>
              <w:topLinePunct w:val="0"/>
              <w:autoSpaceDE/>
              <w:autoSpaceDN/>
              <w:bidi w:val="0"/>
              <w:adjustRightInd/>
              <w:snapToGrid/>
              <w:spacing w:before="120" w:after="120" w:line="260" w:lineRule="exact"/>
              <w:jc w:val="center"/>
              <w:textAlignment w:val="auto"/>
              <w:outlineLvl w:val="9"/>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9</w:t>
            </w:r>
          </w:p>
        </w:tc>
        <w:tc>
          <w:tcPr>
            <w:tcW w:w="1665" w:type="dxa"/>
            <w:noWrap w:val="0"/>
            <w:vAlign w:val="center"/>
          </w:tcPr>
          <w:p>
            <w:pPr>
              <w:keepNext w:val="0"/>
              <w:keepLines w:val="0"/>
              <w:pageBreakBefore w:val="0"/>
              <w:widowControl/>
              <w:kinsoku/>
              <w:overflowPunct/>
              <w:topLinePunct w:val="0"/>
              <w:autoSpaceDE/>
              <w:autoSpaceDN/>
              <w:bidi w:val="0"/>
              <w:adjustRightInd/>
              <w:snapToGrid/>
              <w:spacing w:before="120" w:after="120" w:line="260" w:lineRule="exact"/>
              <w:textAlignment w:val="auto"/>
              <w:outlineLvl w:val="9"/>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小计</w:t>
            </w:r>
          </w:p>
        </w:tc>
        <w:tc>
          <w:tcPr>
            <w:tcW w:w="4560" w:type="dxa"/>
            <w:gridSpan w:val="4"/>
            <w:noWrap w:val="0"/>
            <w:vAlign w:val="center"/>
          </w:tcPr>
          <w:p>
            <w:pPr>
              <w:keepNext w:val="0"/>
              <w:keepLines w:val="0"/>
              <w:pageBreakBefore w:val="0"/>
              <w:widowControl/>
              <w:kinsoku/>
              <w:overflowPunct/>
              <w:topLinePunct w:val="0"/>
              <w:autoSpaceDE/>
              <w:autoSpaceDN/>
              <w:bidi w:val="0"/>
              <w:adjustRightInd/>
              <w:snapToGrid/>
              <w:spacing w:before="120" w:after="120" w:line="260" w:lineRule="exact"/>
              <w:jc w:val="right"/>
              <w:textAlignment w:val="auto"/>
              <w:outlineLvl w:val="9"/>
              <w:rPr>
                <w:rFonts w:hint="eastAsia" w:ascii="微软雅黑" w:hAnsi="微软雅黑" w:eastAsia="微软雅黑" w:cs="微软雅黑"/>
                <w:b/>
                <w:bCs/>
                <w:sz w:val="21"/>
                <w:szCs w:val="21"/>
                <w:lang w:val="en-US" w:eastAsia="zh-CN"/>
              </w:rPr>
            </w:pPr>
          </w:p>
        </w:tc>
        <w:tc>
          <w:tcPr>
            <w:tcW w:w="1125" w:type="dxa"/>
            <w:noWrap w:val="0"/>
            <w:vAlign w:val="center"/>
          </w:tcPr>
          <w:p>
            <w:pPr>
              <w:keepNext w:val="0"/>
              <w:keepLines w:val="0"/>
              <w:pageBreakBefore w:val="0"/>
              <w:widowControl/>
              <w:kinsoku/>
              <w:wordWrap w:val="0"/>
              <w:overflowPunct/>
              <w:topLinePunct w:val="0"/>
              <w:autoSpaceDE/>
              <w:autoSpaceDN/>
              <w:bidi w:val="0"/>
              <w:adjustRightInd/>
              <w:snapToGrid/>
              <w:spacing w:before="120" w:after="120" w:line="260" w:lineRule="exact"/>
              <w:jc w:val="right"/>
              <w:textAlignment w:val="auto"/>
              <w:outlineLvl w:val="9"/>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617630</w:t>
            </w:r>
          </w:p>
        </w:tc>
        <w:tc>
          <w:tcPr>
            <w:tcW w:w="1920" w:type="dxa"/>
            <w:noWrap w:val="0"/>
            <w:vAlign w:val="top"/>
          </w:tcPr>
          <w:p>
            <w:pPr>
              <w:keepNext w:val="0"/>
              <w:keepLines w:val="0"/>
              <w:pageBreakBefore w:val="0"/>
              <w:widowControl/>
              <w:kinsoku/>
              <w:overflowPunct/>
              <w:topLinePunct w:val="0"/>
              <w:autoSpaceDE/>
              <w:autoSpaceDN/>
              <w:bidi w:val="0"/>
              <w:adjustRightInd/>
              <w:snapToGrid/>
              <w:spacing w:before="120" w:after="120" w:line="260" w:lineRule="exact"/>
              <w:textAlignment w:val="auto"/>
              <w:outlineLvl w:val="9"/>
              <w:rPr>
                <w:rFonts w:hint="eastAsia" w:ascii="微软雅黑" w:hAnsi="微软雅黑" w:eastAsia="微软雅黑" w:cs="微软雅黑"/>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6" w:type="dxa"/>
            <w:gridSpan w:val="8"/>
            <w:noWrap w:val="0"/>
            <w:vAlign w:val="center"/>
          </w:tcPr>
          <w:p>
            <w:pPr>
              <w:keepNext w:val="0"/>
              <w:keepLines w:val="0"/>
              <w:pageBreakBefore w:val="0"/>
              <w:widowControl/>
              <w:kinsoku/>
              <w:overflowPunct/>
              <w:topLinePunct w:val="0"/>
              <w:autoSpaceDE/>
              <w:autoSpaceDN/>
              <w:bidi w:val="0"/>
              <w:adjustRightInd/>
              <w:snapToGrid/>
              <w:spacing w:before="120" w:after="120" w:line="260" w:lineRule="exac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二、管理中心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736" w:type="dxa"/>
            <w:noWrap w:val="0"/>
            <w:vAlign w:val="center"/>
          </w:tcPr>
          <w:p>
            <w:pPr>
              <w:keepNext w:val="0"/>
              <w:keepLines w:val="0"/>
              <w:pageBreakBefore w:val="0"/>
              <w:widowControl/>
              <w:kinsoku/>
              <w:wordWrap/>
              <w:overflowPunct/>
              <w:topLinePunct w:val="0"/>
              <w:autoSpaceDE/>
              <w:autoSpaceDN/>
              <w:bidi w:val="0"/>
              <w:adjustRightInd/>
              <w:snapToGrid/>
              <w:spacing w:before="120" w:after="120" w:line="240" w:lineRule="exact"/>
              <w:ind w:left="0" w:leftChars="0" w:right="0" w:rightChars="0" w:firstLine="0" w:firstLineChars="0"/>
              <w:jc w:val="center"/>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w:t>
            </w:r>
          </w:p>
        </w:tc>
        <w:tc>
          <w:tcPr>
            <w:tcW w:w="166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能源计量节能监管</w:t>
            </w:r>
            <w:r>
              <w:rPr>
                <w:rFonts w:hint="eastAsia" w:ascii="微软雅黑" w:hAnsi="微软雅黑" w:eastAsia="微软雅黑" w:cs="微软雅黑"/>
                <w:sz w:val="21"/>
                <w:szCs w:val="21"/>
              </w:rPr>
              <w:t>系统软件</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V</w:t>
            </w:r>
            <w:r>
              <w:rPr>
                <w:rFonts w:hint="eastAsia" w:ascii="微软雅黑" w:hAnsi="微软雅黑" w:eastAsia="微软雅黑" w:cs="微软雅黑"/>
                <w:sz w:val="21"/>
                <w:szCs w:val="21"/>
                <w:lang w:val="en-US" w:eastAsia="zh-CN"/>
              </w:rPr>
              <w:t>8.2</w:t>
            </w:r>
          </w:p>
        </w:tc>
        <w:tc>
          <w:tcPr>
            <w:tcW w:w="675" w:type="dxa"/>
            <w:noWrap w:val="0"/>
            <w:vAlign w:val="center"/>
          </w:tcPr>
          <w:p>
            <w:pPr>
              <w:keepNext w:val="0"/>
              <w:keepLines w:val="0"/>
              <w:pageBreakBefore w:val="0"/>
              <w:widowControl/>
              <w:kinsoku/>
              <w:overflowPunct/>
              <w:topLinePunct w:val="0"/>
              <w:autoSpaceDE/>
              <w:autoSpaceDN/>
              <w:bidi w:val="0"/>
              <w:adjustRightInd/>
              <w:snapToGrid/>
              <w:spacing w:line="260" w:lineRule="exact"/>
              <w:ind w:left="0" w:leftChars="0" w:firstLine="0" w:firstLineChars="0"/>
              <w:jc w:val="center"/>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套</w:t>
            </w:r>
          </w:p>
        </w:tc>
        <w:tc>
          <w:tcPr>
            <w:tcW w:w="855" w:type="dxa"/>
            <w:noWrap w:val="0"/>
            <w:vAlign w:val="center"/>
          </w:tcPr>
          <w:p>
            <w:pPr>
              <w:keepNext w:val="0"/>
              <w:keepLines w:val="0"/>
              <w:pageBreakBefore w:val="0"/>
              <w:widowControl/>
              <w:kinsoku/>
              <w:overflowPunct/>
              <w:topLinePunct w:val="0"/>
              <w:autoSpaceDE/>
              <w:autoSpaceDN/>
              <w:bidi w:val="0"/>
              <w:adjustRightInd/>
              <w:snapToGrid/>
              <w:spacing w:line="260" w:lineRule="exact"/>
              <w:ind w:left="0" w:leftChars="0" w:firstLine="0" w:firstLineChars="0"/>
              <w:jc w:val="center"/>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1</w:t>
            </w:r>
          </w:p>
        </w:tc>
        <w:tc>
          <w:tcPr>
            <w:tcW w:w="102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100" w:firstLine="0" w:firstLineChars="0"/>
              <w:jc w:val="center"/>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30000</w:t>
            </w:r>
          </w:p>
        </w:tc>
        <w:tc>
          <w:tcPr>
            <w:tcW w:w="1125" w:type="dxa"/>
            <w:noWrap w:val="0"/>
            <w:vAlign w:val="center"/>
          </w:tcPr>
          <w:p>
            <w:pPr>
              <w:keepNext w:val="0"/>
              <w:keepLines w:val="0"/>
              <w:pageBreakBefore w:val="0"/>
              <w:widowControl/>
              <w:kinsoku/>
              <w:wordWrap w:val="0"/>
              <w:overflowPunct/>
              <w:topLinePunct w:val="0"/>
              <w:autoSpaceDE/>
              <w:autoSpaceDN/>
              <w:bidi w:val="0"/>
              <w:adjustRightInd/>
              <w:snapToGrid/>
              <w:spacing w:line="260" w:lineRule="exact"/>
              <w:ind w:left="0" w:leftChars="0" w:firstLine="0" w:firstLineChars="0"/>
              <w:jc w:val="center"/>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30000</w:t>
            </w:r>
          </w:p>
        </w:tc>
        <w:tc>
          <w:tcPr>
            <w:tcW w:w="1920" w:type="dxa"/>
            <w:noWrap w:val="0"/>
            <w:vAlign w:val="top"/>
          </w:tcPr>
          <w:p>
            <w:pPr>
              <w:keepNext w:val="0"/>
              <w:keepLines w:val="0"/>
              <w:pageBreakBefore w:val="0"/>
              <w:widowControl/>
              <w:kinsoku/>
              <w:overflowPunct/>
              <w:topLinePunct w:val="0"/>
              <w:autoSpaceDE/>
              <w:autoSpaceDN/>
              <w:bidi w:val="0"/>
              <w:adjustRightInd/>
              <w:snapToGrid/>
              <w:spacing w:line="260" w:lineRule="exact"/>
              <w:ind w:left="0" w:leftChars="0" w:firstLine="0" w:firstLineChars="0"/>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水电兼容，统一管理，免费升级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w:t>
            </w:r>
          </w:p>
        </w:tc>
        <w:tc>
          <w:tcPr>
            <w:tcW w:w="1665"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自助缴费系统</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V2.0</w:t>
            </w:r>
          </w:p>
        </w:tc>
        <w:tc>
          <w:tcPr>
            <w:tcW w:w="675"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套</w:t>
            </w:r>
          </w:p>
        </w:tc>
        <w:tc>
          <w:tcPr>
            <w:tcW w:w="855"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w:t>
            </w:r>
          </w:p>
        </w:tc>
        <w:tc>
          <w:tcPr>
            <w:tcW w:w="1020"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100" w:firstLine="0" w:firstLineChars="0"/>
              <w:jc w:val="center"/>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25000</w:t>
            </w:r>
          </w:p>
        </w:tc>
        <w:tc>
          <w:tcPr>
            <w:tcW w:w="1125"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25000</w:t>
            </w:r>
          </w:p>
        </w:tc>
        <w:tc>
          <w:tcPr>
            <w:tcW w:w="1920" w:type="dxa"/>
            <w:noWrap w:val="0"/>
            <w:vAlign w:val="top"/>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微信查询、缴费等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w:t>
            </w:r>
          </w:p>
        </w:tc>
        <w:tc>
          <w:tcPr>
            <w:tcW w:w="1665"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云服务器</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双核/4G</w:t>
            </w:r>
          </w:p>
        </w:tc>
        <w:tc>
          <w:tcPr>
            <w:tcW w:w="675"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年</w:t>
            </w:r>
          </w:p>
        </w:tc>
        <w:tc>
          <w:tcPr>
            <w:tcW w:w="855"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w:t>
            </w:r>
          </w:p>
        </w:tc>
        <w:tc>
          <w:tcPr>
            <w:tcW w:w="1020"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10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3000</w:t>
            </w:r>
          </w:p>
        </w:tc>
        <w:tc>
          <w:tcPr>
            <w:tcW w:w="1125"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6000</w:t>
            </w:r>
          </w:p>
        </w:tc>
        <w:tc>
          <w:tcPr>
            <w:tcW w:w="1920" w:type="dxa"/>
            <w:noWrap w:val="0"/>
            <w:vAlign w:val="top"/>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阿里云租用费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w:t>
            </w:r>
          </w:p>
        </w:tc>
        <w:tc>
          <w:tcPr>
            <w:tcW w:w="1665"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both"/>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打印机</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EPSON</w:t>
            </w:r>
          </w:p>
        </w:tc>
        <w:tc>
          <w:tcPr>
            <w:tcW w:w="675"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台</w:t>
            </w:r>
          </w:p>
        </w:tc>
        <w:tc>
          <w:tcPr>
            <w:tcW w:w="855"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1</w:t>
            </w:r>
          </w:p>
        </w:tc>
        <w:tc>
          <w:tcPr>
            <w:tcW w:w="1020"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2100</w:t>
            </w:r>
          </w:p>
        </w:tc>
        <w:tc>
          <w:tcPr>
            <w:tcW w:w="1125"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    0 </w:t>
            </w:r>
          </w:p>
        </w:tc>
        <w:tc>
          <w:tcPr>
            <w:tcW w:w="1920"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both"/>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自备  针打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36"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6</w:t>
            </w:r>
          </w:p>
        </w:tc>
        <w:tc>
          <w:tcPr>
            <w:tcW w:w="1665"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both"/>
              <w:textAlignment w:val="auto"/>
              <w:outlineLvl w:val="9"/>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小计</w:t>
            </w:r>
          </w:p>
        </w:tc>
        <w:tc>
          <w:tcPr>
            <w:tcW w:w="4560" w:type="dxa"/>
            <w:gridSpan w:val="4"/>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微软雅黑" w:hAnsi="微软雅黑" w:eastAsia="微软雅黑" w:cs="微软雅黑"/>
                <w:b/>
                <w:bCs/>
                <w:sz w:val="21"/>
                <w:szCs w:val="21"/>
                <w:lang w:val="en-US" w:eastAsia="zh-CN"/>
              </w:rPr>
            </w:pPr>
          </w:p>
        </w:tc>
        <w:tc>
          <w:tcPr>
            <w:tcW w:w="1125"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right"/>
              <w:textAlignment w:val="auto"/>
              <w:outlineLvl w:val="9"/>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 xml:space="preserve">61000 </w:t>
            </w:r>
          </w:p>
        </w:tc>
        <w:tc>
          <w:tcPr>
            <w:tcW w:w="1920"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微软雅黑" w:hAnsi="微软雅黑" w:eastAsia="微软雅黑" w:cs="微软雅黑"/>
                <w:b/>
                <w:bCs/>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6" w:type="dxa"/>
            <w:gridSpan w:val="8"/>
            <w:noWrap w:val="0"/>
            <w:vAlign w:val="center"/>
          </w:tcPr>
          <w:p>
            <w:pPr>
              <w:keepNext w:val="0"/>
              <w:keepLines w:val="0"/>
              <w:pageBreakBefore w:val="0"/>
              <w:widowControl/>
              <w:kinsoku/>
              <w:overflowPunct/>
              <w:topLinePunct w:val="0"/>
              <w:autoSpaceDE/>
              <w:autoSpaceDN/>
              <w:bidi w:val="0"/>
              <w:adjustRightInd/>
              <w:snapToGrid/>
              <w:spacing w:before="120" w:after="120" w:line="260" w:lineRule="exact"/>
              <w:ind w:left="0" w:leftChars="0" w:firstLine="0" w:firstLineChars="0"/>
              <w:jc w:val="both"/>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三、工程施工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736"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210" w:firstLineChars="100"/>
              <w:jc w:val="both"/>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w:t>
            </w:r>
          </w:p>
        </w:tc>
        <w:tc>
          <w:tcPr>
            <w:tcW w:w="166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单相电表拆装</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微软雅黑" w:hAnsi="微软雅黑" w:eastAsia="微软雅黑" w:cs="微软雅黑"/>
                <w:sz w:val="21"/>
                <w:szCs w:val="21"/>
              </w:rPr>
            </w:pPr>
          </w:p>
        </w:tc>
        <w:tc>
          <w:tcPr>
            <w:tcW w:w="67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只</w:t>
            </w:r>
          </w:p>
        </w:tc>
        <w:tc>
          <w:tcPr>
            <w:tcW w:w="85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420</w:t>
            </w:r>
          </w:p>
        </w:tc>
        <w:tc>
          <w:tcPr>
            <w:tcW w:w="102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right"/>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80</w:t>
            </w:r>
          </w:p>
        </w:tc>
        <w:tc>
          <w:tcPr>
            <w:tcW w:w="112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right"/>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33600</w:t>
            </w:r>
          </w:p>
        </w:tc>
        <w:tc>
          <w:tcPr>
            <w:tcW w:w="192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eastAsia" w:ascii="微软雅黑" w:hAnsi="微软雅黑" w:eastAsia="微软雅黑" w:cs="微软雅黑"/>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736"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210" w:firstLineChars="100"/>
              <w:jc w:val="both"/>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w:t>
            </w:r>
          </w:p>
        </w:tc>
        <w:tc>
          <w:tcPr>
            <w:tcW w:w="166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三相电表拆装</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微软雅黑" w:hAnsi="微软雅黑" w:eastAsia="微软雅黑" w:cs="微软雅黑"/>
                <w:sz w:val="21"/>
                <w:szCs w:val="21"/>
              </w:rPr>
            </w:pPr>
          </w:p>
        </w:tc>
        <w:tc>
          <w:tcPr>
            <w:tcW w:w="67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只</w:t>
            </w:r>
          </w:p>
        </w:tc>
        <w:tc>
          <w:tcPr>
            <w:tcW w:w="85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188</w:t>
            </w:r>
          </w:p>
        </w:tc>
        <w:tc>
          <w:tcPr>
            <w:tcW w:w="102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right"/>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200</w:t>
            </w:r>
          </w:p>
        </w:tc>
        <w:tc>
          <w:tcPr>
            <w:tcW w:w="112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right"/>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37600</w:t>
            </w:r>
          </w:p>
        </w:tc>
        <w:tc>
          <w:tcPr>
            <w:tcW w:w="192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736"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210" w:firstLineChars="100"/>
              <w:jc w:val="both"/>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w:t>
            </w:r>
          </w:p>
        </w:tc>
        <w:tc>
          <w:tcPr>
            <w:tcW w:w="166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18"/>
                <w:szCs w:val="18"/>
                <w:lang w:val="en-US" w:eastAsia="zh-CN"/>
              </w:rPr>
              <w:t>塑壳断路器拆装</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微软雅黑" w:hAnsi="微软雅黑" w:eastAsia="微软雅黑" w:cs="微软雅黑"/>
                <w:sz w:val="21"/>
                <w:szCs w:val="21"/>
              </w:rPr>
            </w:pPr>
          </w:p>
        </w:tc>
        <w:tc>
          <w:tcPr>
            <w:tcW w:w="67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套</w:t>
            </w:r>
          </w:p>
        </w:tc>
        <w:tc>
          <w:tcPr>
            <w:tcW w:w="85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51</w:t>
            </w:r>
          </w:p>
        </w:tc>
        <w:tc>
          <w:tcPr>
            <w:tcW w:w="102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right"/>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550</w:t>
            </w:r>
          </w:p>
        </w:tc>
        <w:tc>
          <w:tcPr>
            <w:tcW w:w="112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right"/>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28050</w:t>
            </w:r>
          </w:p>
        </w:tc>
        <w:tc>
          <w:tcPr>
            <w:tcW w:w="192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736"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210" w:firstLineChars="100"/>
              <w:jc w:val="both"/>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w:t>
            </w:r>
          </w:p>
        </w:tc>
        <w:tc>
          <w:tcPr>
            <w:tcW w:w="166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智能水表拆装</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微软雅黑" w:hAnsi="微软雅黑" w:eastAsia="微软雅黑" w:cs="微软雅黑"/>
                <w:sz w:val="21"/>
                <w:szCs w:val="21"/>
              </w:rPr>
            </w:pPr>
          </w:p>
        </w:tc>
        <w:tc>
          <w:tcPr>
            <w:tcW w:w="67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只</w:t>
            </w:r>
          </w:p>
        </w:tc>
        <w:tc>
          <w:tcPr>
            <w:tcW w:w="85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614</w:t>
            </w:r>
          </w:p>
        </w:tc>
        <w:tc>
          <w:tcPr>
            <w:tcW w:w="102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right"/>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90</w:t>
            </w:r>
          </w:p>
        </w:tc>
        <w:tc>
          <w:tcPr>
            <w:tcW w:w="112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right"/>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55260</w:t>
            </w:r>
          </w:p>
        </w:tc>
        <w:tc>
          <w:tcPr>
            <w:tcW w:w="192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736"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210" w:firstLineChars="100"/>
              <w:jc w:val="both"/>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w:t>
            </w:r>
          </w:p>
        </w:tc>
        <w:tc>
          <w:tcPr>
            <w:tcW w:w="166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rPr>
              <w:t>通讯线</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rPr>
              <w:t>RVVP2*1.0</w:t>
            </w:r>
          </w:p>
        </w:tc>
        <w:tc>
          <w:tcPr>
            <w:tcW w:w="67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rPr>
              <w:t>米</w:t>
            </w:r>
          </w:p>
        </w:tc>
        <w:tc>
          <w:tcPr>
            <w:tcW w:w="85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lang w:val="en-US" w:eastAsia="zh-CN"/>
              </w:rPr>
              <w:t>8000</w:t>
            </w:r>
          </w:p>
        </w:tc>
        <w:tc>
          <w:tcPr>
            <w:tcW w:w="102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right"/>
              <w:textAlignment w:val="auto"/>
              <w:outlineLvl w:val="9"/>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lang w:val="en-US" w:eastAsia="zh-CN"/>
              </w:rPr>
              <w:t xml:space="preserve">20  </w:t>
            </w:r>
          </w:p>
        </w:tc>
        <w:tc>
          <w:tcPr>
            <w:tcW w:w="112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right"/>
              <w:textAlignment w:val="auto"/>
              <w:outlineLvl w:val="9"/>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lang w:val="en-US" w:eastAsia="zh-CN"/>
              </w:rPr>
              <w:t xml:space="preserve">160000   </w:t>
            </w:r>
            <w:r>
              <w:rPr>
                <w:rFonts w:hint="eastAsia" w:ascii="微软雅黑" w:hAnsi="微软雅黑" w:eastAsia="微软雅黑" w:cs="微软雅黑"/>
                <w:sz w:val="21"/>
                <w:szCs w:val="21"/>
              </w:rPr>
              <w:t xml:space="preserve"> </w:t>
            </w:r>
          </w:p>
        </w:tc>
        <w:tc>
          <w:tcPr>
            <w:tcW w:w="192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lang w:val="en-US" w:eastAsia="zh-CN"/>
              </w:rPr>
              <w:t>含主材及施工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36"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w:t>
            </w:r>
          </w:p>
        </w:tc>
        <w:tc>
          <w:tcPr>
            <w:tcW w:w="166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线管</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Ø</w:t>
            </w:r>
            <w:r>
              <w:rPr>
                <w:rFonts w:hint="eastAsia" w:ascii="微软雅黑" w:hAnsi="微软雅黑" w:eastAsia="微软雅黑" w:cs="微软雅黑"/>
                <w:sz w:val="21"/>
                <w:szCs w:val="21"/>
                <w:lang w:val="en-US" w:eastAsia="zh-CN"/>
              </w:rPr>
              <w:t>20</w:t>
            </w:r>
          </w:p>
        </w:tc>
        <w:tc>
          <w:tcPr>
            <w:tcW w:w="67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米</w:t>
            </w:r>
          </w:p>
        </w:tc>
        <w:tc>
          <w:tcPr>
            <w:tcW w:w="85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6000</w:t>
            </w:r>
          </w:p>
        </w:tc>
        <w:tc>
          <w:tcPr>
            <w:tcW w:w="102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right"/>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15</w:t>
            </w:r>
          </w:p>
        </w:tc>
        <w:tc>
          <w:tcPr>
            <w:tcW w:w="112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right"/>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90000</w:t>
            </w:r>
          </w:p>
        </w:tc>
        <w:tc>
          <w:tcPr>
            <w:tcW w:w="192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含主材及施工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36"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w:t>
            </w:r>
          </w:p>
        </w:tc>
        <w:tc>
          <w:tcPr>
            <w:tcW w:w="166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金属城水表井</w:t>
            </w:r>
          </w:p>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清理修复改造</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微软雅黑" w:hAnsi="微软雅黑" w:eastAsia="微软雅黑" w:cs="微软雅黑"/>
                <w:sz w:val="21"/>
                <w:szCs w:val="21"/>
              </w:rPr>
            </w:pPr>
          </w:p>
        </w:tc>
        <w:tc>
          <w:tcPr>
            <w:tcW w:w="67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个</w:t>
            </w:r>
          </w:p>
        </w:tc>
        <w:tc>
          <w:tcPr>
            <w:tcW w:w="85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137</w:t>
            </w:r>
          </w:p>
        </w:tc>
        <w:tc>
          <w:tcPr>
            <w:tcW w:w="102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right"/>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500</w:t>
            </w:r>
          </w:p>
        </w:tc>
        <w:tc>
          <w:tcPr>
            <w:tcW w:w="112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right"/>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68500</w:t>
            </w:r>
          </w:p>
        </w:tc>
        <w:tc>
          <w:tcPr>
            <w:tcW w:w="192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不含井盖换新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36"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w:t>
            </w:r>
          </w:p>
        </w:tc>
        <w:tc>
          <w:tcPr>
            <w:tcW w:w="166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宿舍单元门口</w:t>
            </w:r>
          </w:p>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表井修复改造</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微软雅黑" w:hAnsi="微软雅黑" w:eastAsia="微软雅黑" w:cs="微软雅黑"/>
                <w:sz w:val="21"/>
                <w:szCs w:val="21"/>
              </w:rPr>
            </w:pPr>
          </w:p>
        </w:tc>
        <w:tc>
          <w:tcPr>
            <w:tcW w:w="67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个</w:t>
            </w:r>
          </w:p>
        </w:tc>
        <w:tc>
          <w:tcPr>
            <w:tcW w:w="85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32</w:t>
            </w:r>
          </w:p>
        </w:tc>
        <w:tc>
          <w:tcPr>
            <w:tcW w:w="102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right"/>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1500</w:t>
            </w:r>
          </w:p>
        </w:tc>
        <w:tc>
          <w:tcPr>
            <w:tcW w:w="112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right"/>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48000</w:t>
            </w:r>
          </w:p>
        </w:tc>
        <w:tc>
          <w:tcPr>
            <w:tcW w:w="192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6"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9</w:t>
            </w:r>
          </w:p>
        </w:tc>
        <w:tc>
          <w:tcPr>
            <w:tcW w:w="166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系统调试培训</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微软雅黑" w:hAnsi="微软雅黑" w:eastAsia="微软雅黑" w:cs="微软雅黑"/>
                <w:sz w:val="21"/>
                <w:szCs w:val="21"/>
              </w:rPr>
            </w:pPr>
          </w:p>
        </w:tc>
        <w:tc>
          <w:tcPr>
            <w:tcW w:w="67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项</w:t>
            </w:r>
          </w:p>
        </w:tc>
        <w:tc>
          <w:tcPr>
            <w:tcW w:w="85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w:t>
            </w:r>
          </w:p>
        </w:tc>
        <w:tc>
          <w:tcPr>
            <w:tcW w:w="102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right"/>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20000</w:t>
            </w:r>
          </w:p>
        </w:tc>
        <w:tc>
          <w:tcPr>
            <w:tcW w:w="112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right"/>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20000</w:t>
            </w:r>
          </w:p>
        </w:tc>
        <w:tc>
          <w:tcPr>
            <w:tcW w:w="192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36" w:type="dxa"/>
            <w:noWrap w:val="0"/>
            <w:vAlign w:val="center"/>
          </w:tcPr>
          <w:p>
            <w:pPr>
              <w:keepNext w:val="0"/>
              <w:keepLines w:val="0"/>
              <w:pageBreakBefore w:val="0"/>
              <w:widowControl/>
              <w:kinsoku/>
              <w:overflowPunct/>
              <w:topLinePunct w:val="0"/>
              <w:autoSpaceDE/>
              <w:autoSpaceDN/>
              <w:bidi w:val="0"/>
              <w:adjustRightInd/>
              <w:snapToGrid/>
              <w:spacing w:line="260" w:lineRule="exact"/>
              <w:jc w:val="center"/>
              <w:textAlignment w:val="auto"/>
              <w:outlineLvl w:val="9"/>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13</w:t>
            </w:r>
          </w:p>
        </w:tc>
        <w:tc>
          <w:tcPr>
            <w:tcW w:w="1665" w:type="dxa"/>
            <w:noWrap w:val="0"/>
            <w:vAlign w:val="center"/>
          </w:tcPr>
          <w:p>
            <w:pPr>
              <w:keepNext w:val="0"/>
              <w:keepLines w:val="0"/>
              <w:pageBreakBefore w:val="0"/>
              <w:widowControl/>
              <w:kinsoku/>
              <w:overflowPunct/>
              <w:topLinePunct w:val="0"/>
              <w:autoSpaceDE/>
              <w:autoSpaceDN/>
              <w:bidi w:val="0"/>
              <w:adjustRightInd/>
              <w:snapToGrid/>
              <w:spacing w:line="260" w:lineRule="exact"/>
              <w:jc w:val="both"/>
              <w:textAlignment w:val="auto"/>
              <w:outlineLvl w:val="9"/>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小计</w:t>
            </w:r>
          </w:p>
        </w:tc>
        <w:tc>
          <w:tcPr>
            <w:tcW w:w="4560" w:type="dxa"/>
            <w:gridSpan w:val="4"/>
            <w:noWrap w:val="0"/>
            <w:vAlign w:val="center"/>
          </w:tcPr>
          <w:p>
            <w:pPr>
              <w:keepNext w:val="0"/>
              <w:keepLines w:val="0"/>
              <w:pageBreakBefore w:val="0"/>
              <w:widowControl/>
              <w:kinsoku/>
              <w:overflowPunct/>
              <w:topLinePunct w:val="0"/>
              <w:autoSpaceDE/>
              <w:autoSpaceDN/>
              <w:bidi w:val="0"/>
              <w:adjustRightInd/>
              <w:snapToGrid/>
              <w:spacing w:line="260" w:lineRule="exact"/>
              <w:jc w:val="right"/>
              <w:textAlignment w:val="auto"/>
              <w:outlineLvl w:val="9"/>
              <w:rPr>
                <w:rFonts w:hint="eastAsia" w:ascii="微软雅黑" w:hAnsi="微软雅黑" w:eastAsia="微软雅黑" w:cs="微软雅黑"/>
                <w:b/>
                <w:bCs/>
                <w:sz w:val="21"/>
                <w:szCs w:val="21"/>
              </w:rPr>
            </w:pPr>
          </w:p>
        </w:tc>
        <w:tc>
          <w:tcPr>
            <w:tcW w:w="112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right"/>
              <w:textAlignment w:val="auto"/>
              <w:outlineLvl w:val="9"/>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 xml:space="preserve">540970 </w:t>
            </w:r>
          </w:p>
        </w:tc>
        <w:tc>
          <w:tcPr>
            <w:tcW w:w="1920" w:type="dxa"/>
            <w:noWrap w:val="0"/>
            <w:vAlign w:val="top"/>
          </w:tcPr>
          <w:p>
            <w:pPr>
              <w:keepNext w:val="0"/>
              <w:keepLines w:val="0"/>
              <w:pageBreakBefore w:val="0"/>
              <w:widowControl/>
              <w:kinsoku/>
              <w:overflowPunct/>
              <w:topLinePunct w:val="0"/>
              <w:autoSpaceDE/>
              <w:autoSpaceDN/>
              <w:bidi w:val="0"/>
              <w:adjustRightInd/>
              <w:snapToGrid/>
              <w:spacing w:line="260" w:lineRule="exact"/>
              <w:textAlignment w:val="auto"/>
              <w:outlineLvl w:val="9"/>
              <w:rPr>
                <w:rFonts w:hint="eastAsia" w:ascii="微软雅黑" w:hAnsi="微软雅黑" w:eastAsia="微软雅黑" w:cs="微软雅黑"/>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pPr>
              <w:keepNext w:val="0"/>
              <w:keepLines w:val="0"/>
              <w:pageBreakBefore w:val="0"/>
              <w:widowControl/>
              <w:kinsoku/>
              <w:overflowPunct/>
              <w:topLinePunct w:val="0"/>
              <w:autoSpaceDE/>
              <w:autoSpaceDN/>
              <w:bidi w:val="0"/>
              <w:adjustRightInd/>
              <w:snapToGrid/>
              <w:spacing w:before="120" w:after="120" w:line="260" w:lineRule="exact"/>
              <w:jc w:val="center"/>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 xml:space="preserve"> </w:t>
            </w:r>
          </w:p>
        </w:tc>
        <w:tc>
          <w:tcPr>
            <w:tcW w:w="1665" w:type="dxa"/>
            <w:noWrap w:val="0"/>
            <w:vAlign w:val="center"/>
          </w:tcPr>
          <w:p>
            <w:pPr>
              <w:keepNext w:val="0"/>
              <w:keepLines w:val="0"/>
              <w:pageBreakBefore w:val="0"/>
              <w:widowControl/>
              <w:kinsoku/>
              <w:overflowPunct/>
              <w:topLinePunct w:val="0"/>
              <w:autoSpaceDE/>
              <w:autoSpaceDN/>
              <w:bidi w:val="0"/>
              <w:adjustRightInd/>
              <w:snapToGrid/>
              <w:spacing w:before="120" w:after="120" w:line="260" w:lineRule="exact"/>
              <w:jc w:val="both"/>
              <w:textAlignment w:val="auto"/>
              <w:outlineLvl w:val="9"/>
              <w:rPr>
                <w:rFonts w:hint="eastAsia" w:ascii="微软雅黑" w:hAnsi="微软雅黑" w:eastAsia="微软雅黑" w:cs="微软雅黑"/>
                <w:b/>
                <w:bCs w:val="0"/>
                <w:sz w:val="21"/>
                <w:szCs w:val="21"/>
              </w:rPr>
            </w:pPr>
            <w:r>
              <w:rPr>
                <w:rFonts w:hint="eastAsia" w:ascii="微软雅黑" w:hAnsi="微软雅黑" w:eastAsia="微软雅黑" w:cs="微软雅黑"/>
                <w:b/>
                <w:bCs w:val="0"/>
                <w:sz w:val="21"/>
                <w:szCs w:val="21"/>
              </w:rPr>
              <w:t>总  计</w:t>
            </w:r>
          </w:p>
        </w:tc>
        <w:tc>
          <w:tcPr>
            <w:tcW w:w="4560" w:type="dxa"/>
            <w:gridSpan w:val="4"/>
            <w:noWrap w:val="0"/>
            <w:vAlign w:val="center"/>
          </w:tcPr>
          <w:p>
            <w:pPr>
              <w:keepNext w:val="0"/>
              <w:keepLines w:val="0"/>
              <w:pageBreakBefore w:val="0"/>
              <w:widowControl/>
              <w:kinsoku/>
              <w:wordWrap w:val="0"/>
              <w:overflowPunct/>
              <w:topLinePunct w:val="0"/>
              <w:autoSpaceDE/>
              <w:autoSpaceDN/>
              <w:bidi w:val="0"/>
              <w:adjustRightInd/>
              <w:snapToGrid/>
              <w:spacing w:before="120" w:after="120" w:line="260" w:lineRule="exact"/>
              <w:jc w:val="center"/>
              <w:textAlignment w:val="auto"/>
              <w:outlineLvl w:val="9"/>
              <w:rPr>
                <w:rFonts w:hint="eastAsia" w:ascii="微软雅黑" w:hAnsi="微软雅黑" w:eastAsia="微软雅黑" w:cs="微软雅黑"/>
                <w:b/>
                <w:bCs w:val="0"/>
                <w:sz w:val="21"/>
                <w:szCs w:val="21"/>
              </w:rPr>
            </w:pPr>
            <w:r>
              <w:rPr>
                <w:rFonts w:hint="eastAsia" w:ascii="微软雅黑" w:hAnsi="微软雅黑" w:eastAsia="微软雅黑" w:cs="微软雅黑"/>
                <w:b/>
                <w:bCs w:val="0"/>
                <w:sz w:val="21"/>
                <w:szCs w:val="21"/>
                <w:lang w:val="en-US" w:eastAsia="zh-CN"/>
              </w:rPr>
              <w:t xml:space="preserve">壹佰贰拾壹万玖仟陆佰元整 </w:t>
            </w:r>
          </w:p>
        </w:tc>
        <w:tc>
          <w:tcPr>
            <w:tcW w:w="1125" w:type="dxa"/>
            <w:noWrap w:val="0"/>
            <w:vAlign w:val="center"/>
          </w:tcPr>
          <w:p>
            <w:pPr>
              <w:keepNext w:val="0"/>
              <w:keepLines w:val="0"/>
              <w:pageBreakBefore w:val="0"/>
              <w:widowControl/>
              <w:kinsoku/>
              <w:overflowPunct/>
              <w:topLinePunct w:val="0"/>
              <w:autoSpaceDE/>
              <w:autoSpaceDN/>
              <w:bidi w:val="0"/>
              <w:adjustRightInd/>
              <w:snapToGrid/>
              <w:spacing w:before="120" w:after="120" w:line="260" w:lineRule="exact"/>
              <w:jc w:val="right"/>
              <w:textAlignment w:val="auto"/>
              <w:outlineLvl w:val="9"/>
              <w:rPr>
                <w:rFonts w:hint="eastAsia" w:ascii="微软雅黑" w:hAnsi="微软雅黑" w:eastAsia="微软雅黑" w:cs="微软雅黑"/>
                <w:b w:val="0"/>
                <w:bCs/>
                <w:sz w:val="21"/>
                <w:szCs w:val="21"/>
              </w:rPr>
            </w:pPr>
            <w:r>
              <w:rPr>
                <w:rFonts w:hint="eastAsia" w:ascii="微软雅黑" w:hAnsi="微软雅黑" w:eastAsia="微软雅黑" w:cs="微软雅黑"/>
                <w:b/>
                <w:bCs w:val="0"/>
                <w:sz w:val="21"/>
                <w:szCs w:val="21"/>
                <w:lang w:val="en-US" w:eastAsia="zh-CN"/>
              </w:rPr>
              <w:t xml:space="preserve">1219600 </w:t>
            </w:r>
            <w:r>
              <w:rPr>
                <w:rFonts w:hint="eastAsia" w:ascii="微软雅黑" w:hAnsi="微软雅黑" w:eastAsia="微软雅黑" w:cs="微软雅黑"/>
                <w:b w:val="0"/>
                <w:bCs/>
                <w:sz w:val="21"/>
                <w:szCs w:val="21"/>
                <w:lang w:val="en-US" w:eastAsia="zh-CN"/>
              </w:rPr>
              <w:t xml:space="preserve"> </w:t>
            </w:r>
            <w:r>
              <w:rPr>
                <w:rFonts w:hint="eastAsia" w:ascii="微软雅黑" w:hAnsi="微软雅黑" w:eastAsia="微软雅黑" w:cs="微软雅黑"/>
                <w:b w:val="0"/>
                <w:bCs/>
                <w:sz w:val="21"/>
                <w:szCs w:val="21"/>
              </w:rPr>
              <w:t xml:space="preserve"> </w:t>
            </w:r>
          </w:p>
        </w:tc>
        <w:tc>
          <w:tcPr>
            <w:tcW w:w="1920" w:type="dxa"/>
            <w:noWrap w:val="0"/>
            <w:vAlign w:val="top"/>
          </w:tcPr>
          <w:p>
            <w:pPr>
              <w:keepNext w:val="0"/>
              <w:keepLines w:val="0"/>
              <w:pageBreakBefore w:val="0"/>
              <w:widowControl/>
              <w:kinsoku/>
              <w:overflowPunct/>
              <w:topLinePunct w:val="0"/>
              <w:autoSpaceDE/>
              <w:autoSpaceDN/>
              <w:bidi w:val="0"/>
              <w:adjustRightInd/>
              <w:snapToGrid/>
              <w:spacing w:before="120" w:after="120" w:line="260" w:lineRule="exact"/>
              <w:textAlignment w:val="auto"/>
              <w:outlineLvl w:val="9"/>
              <w:rPr>
                <w:rFonts w:hint="eastAsia" w:ascii="微软雅黑" w:hAnsi="微软雅黑" w:eastAsia="微软雅黑" w:cs="微软雅黑"/>
                <w:b w:val="0"/>
                <w:bCs/>
                <w:sz w:val="21"/>
                <w:szCs w:val="21"/>
              </w:rPr>
            </w:pPr>
          </w:p>
        </w:tc>
      </w:tr>
    </w:tbl>
    <w:p>
      <w:pPr>
        <w:numPr>
          <w:ilvl w:val="0"/>
          <w:numId w:val="0"/>
        </w:numPr>
        <w:ind w:leftChars="0"/>
        <w:rPr>
          <w:rFonts w:hint="default"/>
          <w:lang w:val="en-US" w:eastAsia="zh-CN"/>
        </w:rPr>
      </w:pPr>
    </w:p>
    <w:sectPr>
      <w:headerReference r:id="rId3" w:type="default"/>
      <w:pgSz w:w="11906" w:h="16838"/>
      <w:pgMar w:top="1270" w:right="1293" w:bottom="1213" w:left="146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default" w:eastAsiaTheme="minorEastAsia"/>
        <w:lang w:val="en-US" w:eastAsia="zh-CN"/>
      </w:rPr>
    </w:pPr>
    <w:r>
      <w:drawing>
        <wp:anchor distT="3810" distB="0" distL="114935" distR="114935" simplePos="0" relativeHeight="251658240" behindDoc="0" locked="0" layoutInCell="1" allowOverlap="1">
          <wp:simplePos x="0" y="0"/>
          <wp:positionH relativeFrom="column">
            <wp:posOffset>123190</wp:posOffset>
          </wp:positionH>
          <wp:positionV relativeFrom="paragraph">
            <wp:posOffset>38735</wp:posOffset>
          </wp:positionV>
          <wp:extent cx="1325880" cy="236855"/>
          <wp:effectExtent l="0" t="0" r="7620" b="10795"/>
          <wp:wrapTopAndBottom/>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
                  <a:stretch>
                    <a:fillRect/>
                  </a:stretch>
                </pic:blipFill>
                <pic:spPr>
                  <a:xfrm>
                    <a:off x="0" y="0"/>
                    <a:ext cx="1325880" cy="236855"/>
                  </a:xfrm>
                  <a:prstGeom prst="rect">
                    <a:avLst/>
                  </a:prstGeom>
                  <a:noFill/>
                  <a:ln w="9525">
                    <a:noFill/>
                    <a:miter/>
                  </a:ln>
                </pic:spPr>
              </pic:pic>
            </a:graphicData>
          </a:graphic>
        </wp:anchor>
      </w:drawing>
    </w:r>
    <w:r>
      <w:rPr>
        <w:rFonts w:hint="eastAsia"/>
        <w:lang w:val="en-US" w:eastAsia="zh-CN"/>
      </w:rPr>
      <w:t xml:space="preserve">                                            </w:t>
    </w:r>
    <w:r>
      <w:rPr>
        <w:rFonts w:hint="eastAsia" w:ascii="微软雅黑" w:hAnsi="微软雅黑" w:eastAsia="微软雅黑" w:cs="微软雅黑"/>
        <w:sz w:val="24"/>
        <w:szCs w:val="24"/>
        <w:lang w:val="en-US" w:eastAsia="zh-CN"/>
      </w:rPr>
      <w:t>常州瑞信电子科技有限公司</w:t>
    </w:r>
    <w:r>
      <w:rPr>
        <w:rFonts w:hint="eastAsia"/>
        <w:lang w:val="en-US" w:eastAsia="zh-CN"/>
      </w:rPr>
      <w:t xml:space="preserve">  </w:t>
    </w:r>
    <w:r>
      <w:rPr>
        <w:rFonts w:hint="eastAsia"/>
        <w:sz w:val="24"/>
        <w:szCs w:val="24"/>
        <w:lang w:val="en-US" w:eastAsia="zh-CN"/>
      </w:rPr>
      <w:t>http://www.ruixin.co</w:t>
    </w:r>
    <w:r>
      <w:rPr>
        <w:rFonts w:hint="eastAsia"/>
        <w:lang w:val="en-US" w:eastAsia="zh-CN"/>
      </w:rPr>
      <w:t xml:space="preserve">                       </w:t>
    </w:r>
    <w:r>
      <w:rPr>
        <w:rFonts w:hint="eastAsia"/>
        <w:sz w:val="24"/>
        <w:szCs w:val="24"/>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A073C4"/>
    <w:multiLevelType w:val="singleLevel"/>
    <w:tmpl w:val="87A073C4"/>
    <w:lvl w:ilvl="0" w:tentative="0">
      <w:start w:val="1"/>
      <w:numFmt w:val="chineseCounting"/>
      <w:suff w:val="nothing"/>
      <w:lvlText w:val="%1、"/>
      <w:lvlJc w:val="left"/>
      <w:rPr>
        <w:rFonts w:hint="eastAsia"/>
      </w:rPr>
    </w:lvl>
  </w:abstractNum>
  <w:abstractNum w:abstractNumId="1">
    <w:nsid w:val="9625FC60"/>
    <w:multiLevelType w:val="singleLevel"/>
    <w:tmpl w:val="9625FC60"/>
    <w:lvl w:ilvl="0" w:tentative="0">
      <w:start w:val="1"/>
      <w:numFmt w:val="decimal"/>
      <w:suff w:val="nothing"/>
      <w:lvlText w:val="%1、"/>
      <w:lvlJc w:val="left"/>
    </w:lvl>
  </w:abstractNum>
  <w:abstractNum w:abstractNumId="2">
    <w:nsid w:val="AC552626"/>
    <w:multiLevelType w:val="singleLevel"/>
    <w:tmpl w:val="AC552626"/>
    <w:lvl w:ilvl="0" w:tentative="0">
      <w:start w:val="1"/>
      <w:numFmt w:val="decimal"/>
      <w:suff w:val="nothing"/>
      <w:lvlText w:val="%1、"/>
      <w:lvlJc w:val="left"/>
    </w:lvl>
  </w:abstractNum>
  <w:abstractNum w:abstractNumId="3">
    <w:nsid w:val="FC7E7DDC"/>
    <w:multiLevelType w:val="singleLevel"/>
    <w:tmpl w:val="FC7E7DDC"/>
    <w:lvl w:ilvl="0" w:tentative="0">
      <w:start w:val="2"/>
      <w:numFmt w:val="decimal"/>
      <w:suff w:val="nothing"/>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9CA55C9"/>
    <w:rsid w:val="0DF731AF"/>
    <w:rsid w:val="1F5757FA"/>
    <w:rsid w:val="2AA95593"/>
    <w:rsid w:val="2C575601"/>
    <w:rsid w:val="2FCE3549"/>
    <w:rsid w:val="3D064196"/>
    <w:rsid w:val="3F9C4CF1"/>
    <w:rsid w:val="45D7458E"/>
    <w:rsid w:val="4DDB6DF8"/>
    <w:rsid w:val="4E32341B"/>
    <w:rsid w:val="58B375EF"/>
    <w:rsid w:val="638E0FDB"/>
    <w:rsid w:val="6E7077FE"/>
    <w:rsid w:val="742B19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heme="minorAscii" w:hAnsiTheme="minorAscii" w:eastAsiaTheme="minorEastAsia" w:cstheme="minorBidi"/>
      <w:kern w:val="2"/>
      <w:sz w:val="24"/>
      <w:szCs w:val="24"/>
      <w:lang w:val="en-US" w:eastAsia="zh-CN" w:bidi="ar-SA"/>
    </w:rPr>
  </w:style>
  <w:style w:type="paragraph" w:styleId="2">
    <w:name w:val="heading 1"/>
    <w:basedOn w:val="1"/>
    <w:next w:val="1"/>
    <w:qFormat/>
    <w:uiPriority w:val="0"/>
    <w:pPr>
      <w:keepNext/>
      <w:keepLines/>
      <w:spacing w:before="220" w:beforeLines="0" w:beforeAutospacing="0" w:after="210" w:afterLines="0" w:afterAutospacing="0" w:line="360" w:lineRule="auto"/>
      <w:outlineLvl w:val="0"/>
    </w:pPr>
    <w:rPr>
      <w:rFonts w:asciiTheme="minorAscii" w:hAnsiTheme="minorAscii"/>
      <w:b/>
      <w:kern w:val="44"/>
      <w:sz w:val="36"/>
    </w:rPr>
  </w:style>
  <w:style w:type="paragraph" w:styleId="3">
    <w:name w:val="heading 2"/>
    <w:basedOn w:val="1"/>
    <w:next w:val="1"/>
    <w:unhideWhenUsed/>
    <w:qFormat/>
    <w:uiPriority w:val="0"/>
    <w:pPr>
      <w:spacing w:before="0" w:beforeAutospacing="1" w:after="0" w:afterAutospacing="1" w:line="380" w:lineRule="exact"/>
      <w:jc w:val="left"/>
      <w:outlineLvl w:val="1"/>
    </w:pPr>
    <w:rPr>
      <w:rFonts w:hint="eastAsia" w:ascii="宋体" w:hAnsi="宋体" w:eastAsia="宋体" w:cs="宋体"/>
      <w:b/>
      <w:kern w:val="0"/>
      <w:sz w:val="32"/>
      <w:szCs w:val="36"/>
      <w:lang w:bidi="ar"/>
    </w:rPr>
  </w:style>
  <w:style w:type="paragraph" w:styleId="4">
    <w:name w:val="heading 3"/>
    <w:basedOn w:val="1"/>
    <w:next w:val="1"/>
    <w:unhideWhenUsed/>
    <w:qFormat/>
    <w:uiPriority w:val="0"/>
    <w:pPr>
      <w:keepNext/>
      <w:keepLines/>
      <w:spacing w:before="20" w:beforeLines="0" w:beforeAutospacing="0" w:after="20" w:afterLines="0" w:afterAutospacing="0" w:line="240" w:lineRule="auto"/>
      <w:outlineLvl w:val="2"/>
    </w:pPr>
    <w:rPr>
      <w:rFonts w:ascii="Calibri" w:hAnsi="Calibri" w:eastAsia="宋体"/>
      <w:b/>
      <w:sz w:val="32"/>
      <w:szCs w:val="22"/>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uiPriority w:val="0"/>
    <w:pPr>
      <w:spacing w:before="0" w:beforeAutospacing="1" w:after="0" w:afterAutospacing="1"/>
      <w:ind w:left="0" w:right="0"/>
      <w:jc w:val="left"/>
    </w:pPr>
    <w:rPr>
      <w:kern w:val="0"/>
      <w:sz w:val="24"/>
      <w:lang w:val="en-US" w:eastAsia="zh-CN" w:bidi="ar"/>
    </w:rPr>
  </w:style>
  <w:style w:type="character" w:styleId="10">
    <w:name w:val="Strong"/>
    <w:basedOn w:val="9"/>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2020-02-25T01:50:00Z</dcterms:created>
  <dc:creator>Administrator</dc:creator>
  <cp:lastModifiedBy>瑞信科技</cp:lastModifiedBy>
  <dcterms:modified xsi:type="dcterms:W3CDTF">2020-05-02T10:22:32Z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